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34F62">
      <w:pPr>
        <w:keepNext w:val="0"/>
        <w:keepLines w:val="0"/>
        <w:pageBreakBefore w:val="0"/>
        <w:kinsoku/>
        <w:wordWrap/>
        <w:overflowPunct/>
        <w:topLinePunct w:val="0"/>
        <w:autoSpaceDE w:val="0"/>
        <w:autoSpaceDN w:val="0"/>
        <w:bidi w:val="0"/>
        <w:adjustRightInd/>
        <w:snapToGrid w:val="0"/>
        <w:spacing w:line="560" w:lineRule="exact"/>
        <w:jc w:val="center"/>
        <w:textAlignment w:val="auto"/>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val="0"/>
          <w:bCs/>
          <w:sz w:val="44"/>
          <w:szCs w:val="44"/>
        </w:rPr>
        <w:t>申请人资格及相关限项要求</w:t>
      </w:r>
    </w:p>
    <w:p w14:paraId="472B56D0">
      <w:pPr>
        <w:keepNext w:val="0"/>
        <w:keepLines w:val="0"/>
        <w:pageBreakBefore w:val="0"/>
        <w:widowControl/>
        <w:shd w:val="clear" w:color="auto" w:fill="FFFFFF"/>
        <w:kinsoku/>
        <w:wordWrap/>
        <w:overflowPunct/>
        <w:topLinePunct w:val="0"/>
        <w:bidi w:val="0"/>
        <w:adjustRightInd/>
        <w:snapToGrid w:val="0"/>
        <w:spacing w:line="560" w:lineRule="exact"/>
        <w:ind w:firstLine="643" w:firstLineChars="200"/>
        <w:textAlignment w:val="auto"/>
        <w:rPr>
          <w:rFonts w:hint="eastAsia" w:ascii="方正仿宋_GB2312" w:hAnsi="方正仿宋_GB2312" w:eastAsia="方正仿宋_GB2312" w:cs="方正仿宋_GB2312"/>
          <w:b/>
          <w:color w:val="000000"/>
          <w:kern w:val="0"/>
          <w:sz w:val="32"/>
          <w:szCs w:val="32"/>
          <w:lang w:val="en-US" w:eastAsia="zh-CN"/>
        </w:rPr>
      </w:pPr>
    </w:p>
    <w:p w14:paraId="31880141">
      <w:pPr>
        <w:keepNext w:val="0"/>
        <w:keepLines w:val="0"/>
        <w:pageBreakBefore w:val="0"/>
        <w:widowControl/>
        <w:shd w:val="clear" w:color="auto" w:fill="FFFFFF"/>
        <w:kinsoku/>
        <w:wordWrap/>
        <w:overflowPunct/>
        <w:topLinePunct w:val="0"/>
        <w:bidi w:val="0"/>
        <w:adjustRightInd/>
        <w:snapToGrid w:val="0"/>
        <w:spacing w:line="560" w:lineRule="exact"/>
        <w:ind w:firstLine="640" w:firstLineChars="200"/>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lang w:val="en-US" w:eastAsia="zh-CN"/>
        </w:rPr>
        <w:t>一</w:t>
      </w:r>
      <w:r>
        <w:rPr>
          <w:rFonts w:hint="eastAsia" w:ascii="黑体" w:hAnsi="黑体" w:eastAsia="黑体" w:cs="黑体"/>
          <w:b w:val="0"/>
          <w:bCs/>
          <w:color w:val="000000"/>
          <w:kern w:val="0"/>
          <w:sz w:val="32"/>
          <w:szCs w:val="32"/>
        </w:rPr>
        <w:t>、申请人</w:t>
      </w:r>
      <w:bookmarkStart w:id="0" w:name="_GoBack"/>
      <w:bookmarkEnd w:id="0"/>
      <w:r>
        <w:rPr>
          <w:rFonts w:hint="eastAsia" w:ascii="黑体" w:hAnsi="黑体" w:eastAsia="黑体" w:cs="黑体"/>
          <w:b w:val="0"/>
          <w:bCs/>
          <w:color w:val="000000"/>
          <w:kern w:val="0"/>
          <w:sz w:val="32"/>
          <w:szCs w:val="32"/>
        </w:rPr>
        <w:t>条件</w:t>
      </w:r>
    </w:p>
    <w:p w14:paraId="4B3DD383">
      <w:pPr>
        <w:keepNext w:val="0"/>
        <w:keepLines w:val="0"/>
        <w:pageBreakBefore w:val="0"/>
        <w:kinsoku/>
        <w:wordWrap/>
        <w:overflowPunct/>
        <w:topLinePunct w:val="0"/>
        <w:autoSpaceDE w:val="0"/>
        <w:autoSpaceDN w:val="0"/>
        <w:bidi w:val="0"/>
        <w:adjustRightInd/>
        <w:snapToGrid w:val="0"/>
        <w:spacing w:line="560" w:lineRule="exact"/>
        <w:ind w:firstLine="640" w:firstLineChars="200"/>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1.具有承担基础研究课题或其他从事基础研究的经历；具有</w:t>
      </w:r>
      <w:r>
        <w:rPr>
          <w:rFonts w:hint="eastAsia" w:ascii="方正仿宋_GB2312" w:hAnsi="方正仿宋_GB2312" w:eastAsia="方正仿宋_GB2312" w:cs="方正仿宋_GB2312"/>
          <w:b/>
          <w:bCs/>
          <w:color w:val="000000"/>
          <w:kern w:val="0"/>
          <w:sz w:val="32"/>
          <w:szCs w:val="32"/>
        </w:rPr>
        <w:t>高级专业技术职务（职称）或者具有博士学位</w:t>
      </w:r>
      <w:r>
        <w:rPr>
          <w:rFonts w:hint="eastAsia" w:ascii="方正仿宋_GB2312" w:hAnsi="方正仿宋_GB2312" w:eastAsia="方正仿宋_GB2312" w:cs="方正仿宋_GB2312"/>
          <w:color w:val="000000"/>
          <w:kern w:val="0"/>
          <w:sz w:val="32"/>
          <w:szCs w:val="32"/>
        </w:rPr>
        <w:t>，具有</w:t>
      </w:r>
      <w:r>
        <w:rPr>
          <w:rFonts w:hint="eastAsia" w:ascii="方正仿宋_GB2312" w:hAnsi="方正仿宋_GB2312" w:eastAsia="方正仿宋_GB2312" w:cs="方正仿宋_GB2312"/>
          <w:b/>
          <w:bCs/>
          <w:color w:val="000000"/>
          <w:kern w:val="0"/>
          <w:sz w:val="32"/>
          <w:szCs w:val="32"/>
        </w:rPr>
        <w:t>中级职称且未获得博士学位的研究人员需有2名同领域高级职称专家推荐</w:t>
      </w:r>
      <w:r>
        <w:rPr>
          <w:rFonts w:hint="eastAsia" w:ascii="方正仿宋_GB2312" w:hAnsi="方正仿宋_GB2312" w:eastAsia="方正仿宋_GB2312" w:cs="方正仿宋_GB2312"/>
          <w:color w:val="000000"/>
          <w:kern w:val="0"/>
          <w:sz w:val="32"/>
          <w:szCs w:val="32"/>
          <w:lang w:eastAsia="zh-CN"/>
        </w:rPr>
        <w:t>，</w:t>
      </w:r>
      <w:r>
        <w:rPr>
          <w:rFonts w:hint="eastAsia" w:ascii="方正仿宋_GB2312" w:hAnsi="方正仿宋_GB2312" w:eastAsia="方正仿宋_GB2312" w:cs="方正仿宋_GB2312"/>
          <w:color w:val="000000"/>
          <w:kern w:val="0"/>
          <w:sz w:val="32"/>
          <w:szCs w:val="32"/>
        </w:rPr>
        <w:t>推荐者需亲笔签字，并已注明单位、专业（系统内下载推荐信模板）。部分类型项目在此基础上对申请人的条件还有特殊要求。</w:t>
      </w:r>
    </w:p>
    <w:p w14:paraId="0BBD84B5">
      <w:pPr>
        <w:keepNext w:val="0"/>
        <w:keepLines w:val="0"/>
        <w:pageBreakBefore w:val="0"/>
        <w:kinsoku/>
        <w:wordWrap/>
        <w:overflowPunct/>
        <w:topLinePunct w:val="0"/>
        <w:autoSpaceDE w:val="0"/>
        <w:autoSpaceDN w:val="0"/>
        <w:bidi w:val="0"/>
        <w:adjustRightInd/>
        <w:snapToGrid w:val="0"/>
        <w:spacing w:line="560" w:lineRule="exact"/>
        <w:ind w:firstLine="640" w:firstLineChars="200"/>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2.</w:t>
      </w:r>
      <w:r>
        <w:rPr>
          <w:rFonts w:hint="eastAsia" w:ascii="方正仿宋_GB2312" w:hAnsi="方正仿宋_GB2312" w:eastAsia="方正仿宋_GB2312" w:cs="方正仿宋_GB2312"/>
          <w:b/>
          <w:bCs/>
          <w:color w:val="000000"/>
          <w:kern w:val="0"/>
          <w:sz w:val="32"/>
          <w:szCs w:val="32"/>
        </w:rPr>
        <w:t>非全职受聘于我校</w:t>
      </w:r>
      <w:r>
        <w:rPr>
          <w:rFonts w:hint="eastAsia" w:ascii="方正仿宋_GB2312" w:hAnsi="方正仿宋_GB2312" w:eastAsia="方正仿宋_GB2312" w:cs="方正仿宋_GB2312"/>
          <w:color w:val="000000"/>
          <w:kern w:val="0"/>
          <w:sz w:val="32"/>
          <w:szCs w:val="32"/>
        </w:rPr>
        <w:t>人员以我校为依托单位申请、要签订合同书（内容含保障条件、工作时间、管理权限、经费使用、知识产权、违约责任、争议解决等），同时要经申请人所在单位的书面同意。所有材料作为电子附件随申请书上传信息系统。</w:t>
      </w:r>
    </w:p>
    <w:p w14:paraId="3307758E">
      <w:pPr>
        <w:keepNext w:val="0"/>
        <w:keepLines w:val="0"/>
        <w:pageBreakBefore w:val="0"/>
        <w:kinsoku/>
        <w:wordWrap/>
        <w:overflowPunct/>
        <w:topLinePunct w:val="0"/>
        <w:autoSpaceDE w:val="0"/>
        <w:autoSpaceDN w:val="0"/>
        <w:bidi w:val="0"/>
        <w:adjustRightInd/>
        <w:snapToGrid w:val="0"/>
        <w:spacing w:line="560" w:lineRule="exact"/>
        <w:ind w:firstLine="640" w:firstLineChars="200"/>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3.我校</w:t>
      </w:r>
      <w:r>
        <w:rPr>
          <w:rFonts w:hint="eastAsia" w:ascii="方正仿宋_GB2312" w:hAnsi="方正仿宋_GB2312" w:eastAsia="方正仿宋_GB2312" w:cs="方正仿宋_GB2312"/>
          <w:b/>
          <w:bCs/>
          <w:color w:val="000000"/>
          <w:kern w:val="0"/>
          <w:sz w:val="32"/>
          <w:szCs w:val="32"/>
        </w:rPr>
        <w:t>在站博士后研究人员</w:t>
      </w:r>
      <w:r>
        <w:rPr>
          <w:rFonts w:hint="eastAsia" w:ascii="方正仿宋_GB2312" w:hAnsi="方正仿宋_GB2312" w:eastAsia="方正仿宋_GB2312" w:cs="方正仿宋_GB2312"/>
          <w:color w:val="000000"/>
          <w:kern w:val="0"/>
          <w:sz w:val="32"/>
          <w:szCs w:val="32"/>
        </w:rPr>
        <w:t>可以申请青年科学基金项目、面上项目、地区科学基金项目和部分其他类型项目（其他看指南要求),博士后人员职称选择“无”,人员总表中放在博士后栏。博士后获资助后项目可以变更依托单位。</w:t>
      </w:r>
    </w:p>
    <w:p w14:paraId="43D86BCE">
      <w:pPr>
        <w:keepNext w:val="0"/>
        <w:keepLines w:val="0"/>
        <w:pageBreakBefore w:val="0"/>
        <w:kinsoku/>
        <w:wordWrap/>
        <w:overflowPunct/>
        <w:topLinePunct w:val="0"/>
        <w:autoSpaceDE w:val="0"/>
        <w:autoSpaceDN w:val="0"/>
        <w:bidi w:val="0"/>
        <w:adjustRightInd/>
        <w:snapToGrid w:val="0"/>
        <w:spacing w:line="560" w:lineRule="exact"/>
        <w:ind w:firstLine="640" w:firstLineChars="200"/>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4.</w:t>
      </w:r>
      <w:r>
        <w:rPr>
          <w:rFonts w:hint="eastAsia" w:ascii="方正仿宋_GB2312" w:hAnsi="方正仿宋_GB2312" w:eastAsia="方正仿宋_GB2312" w:cs="方正仿宋_GB2312"/>
          <w:b/>
          <w:bCs/>
          <w:color w:val="000000"/>
          <w:kern w:val="0"/>
          <w:sz w:val="32"/>
          <w:szCs w:val="32"/>
        </w:rPr>
        <w:t>在职攻读研究生学位人员</w:t>
      </w:r>
      <w:r>
        <w:rPr>
          <w:rFonts w:hint="eastAsia" w:ascii="方正仿宋_GB2312" w:hAnsi="方正仿宋_GB2312" w:eastAsia="方正仿宋_GB2312" w:cs="方正仿宋_GB2312"/>
          <w:color w:val="000000"/>
          <w:kern w:val="0"/>
          <w:sz w:val="32"/>
          <w:szCs w:val="32"/>
        </w:rPr>
        <w:t>经过导师同意可以通过受聘单位作为申请人申请面上项目、青年科学基金项目和地区科学基金项目(其中，在职攻读硕士研究生学位人员不得申请青年科学基金项目)。</w:t>
      </w:r>
      <w:r>
        <w:rPr>
          <w:rFonts w:hint="eastAsia" w:ascii="方正仿宋_GB2312" w:hAnsi="方正仿宋_GB2312" w:eastAsia="方正仿宋_GB2312" w:cs="方正仿宋_GB2312"/>
          <w:b/>
          <w:bCs/>
          <w:color w:val="000000"/>
          <w:kern w:val="0"/>
          <w:sz w:val="32"/>
          <w:szCs w:val="32"/>
        </w:rPr>
        <w:t>申请时应当提供导师同意其申请项目并由导师签字的函件</w:t>
      </w:r>
      <w:r>
        <w:rPr>
          <w:rFonts w:hint="eastAsia" w:ascii="方正仿宋_GB2312" w:hAnsi="方正仿宋_GB2312" w:eastAsia="方正仿宋_GB2312" w:cs="方正仿宋_GB2312"/>
          <w:color w:val="000000"/>
          <w:kern w:val="0"/>
          <w:sz w:val="32"/>
          <w:szCs w:val="32"/>
        </w:rPr>
        <w:t>，说明申请项目与其学位论文的关系，以及承担项目后的工作时间和条件保证等，并将函件扫描件作为申请书附件上传。受聘单位不是依托单位的在职攻读研究生学位人员不可申请各类项目。</w:t>
      </w:r>
    </w:p>
    <w:p w14:paraId="1EFF8B28">
      <w:pPr>
        <w:keepNext w:val="0"/>
        <w:keepLines w:val="0"/>
        <w:pageBreakBefore w:val="0"/>
        <w:kinsoku/>
        <w:wordWrap/>
        <w:overflowPunct/>
        <w:topLinePunct w:val="0"/>
        <w:autoSpaceDE w:val="0"/>
        <w:autoSpaceDN w:val="0"/>
        <w:bidi w:val="0"/>
        <w:adjustRightInd/>
        <w:snapToGrid w:val="0"/>
        <w:spacing w:line="560" w:lineRule="exact"/>
        <w:ind w:firstLine="640" w:firstLineChars="200"/>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5.</w:t>
      </w:r>
      <w:r>
        <w:rPr>
          <w:rFonts w:hint="eastAsia" w:ascii="方正仿宋_GB2312" w:hAnsi="方正仿宋_GB2312" w:eastAsia="方正仿宋_GB2312" w:cs="方正仿宋_GB2312"/>
          <w:b/>
          <w:bCs/>
          <w:color w:val="000000"/>
          <w:kern w:val="0"/>
          <w:sz w:val="32"/>
          <w:szCs w:val="32"/>
        </w:rPr>
        <w:t>受聘于</w:t>
      </w:r>
      <w:r>
        <w:rPr>
          <w:rFonts w:hint="eastAsia" w:ascii="方正仿宋_GB2312" w:hAnsi="方正仿宋_GB2312" w:eastAsia="方正仿宋_GB2312" w:cs="方正仿宋_GB2312"/>
          <w:b/>
          <w:bCs/>
          <w:color w:val="000000"/>
          <w:kern w:val="0"/>
          <w:sz w:val="32"/>
          <w:szCs w:val="32"/>
          <w:lang w:val="en-US" w:eastAsia="zh-CN"/>
        </w:rPr>
        <w:t>我校</w:t>
      </w:r>
      <w:r>
        <w:rPr>
          <w:rFonts w:hint="eastAsia" w:ascii="方正仿宋_GB2312" w:hAnsi="方正仿宋_GB2312" w:eastAsia="方正仿宋_GB2312" w:cs="方正仿宋_GB2312"/>
          <w:b/>
          <w:bCs/>
          <w:color w:val="000000"/>
          <w:kern w:val="0"/>
          <w:sz w:val="32"/>
          <w:szCs w:val="32"/>
        </w:rPr>
        <w:t>的境外人员</w:t>
      </w:r>
      <w:r>
        <w:rPr>
          <w:rFonts w:hint="eastAsia" w:ascii="方正仿宋_GB2312" w:hAnsi="方正仿宋_GB2312" w:eastAsia="方正仿宋_GB2312" w:cs="方正仿宋_GB2312"/>
          <w:color w:val="000000"/>
          <w:kern w:val="0"/>
          <w:sz w:val="32"/>
          <w:szCs w:val="32"/>
        </w:rPr>
        <w:t>，不得同时以境内申请人和境外合作者(指国际合作项目外方合作者)两种身份申请项目。</w:t>
      </w:r>
    </w:p>
    <w:p w14:paraId="5E897122">
      <w:pPr>
        <w:keepNext w:val="0"/>
        <w:keepLines w:val="0"/>
        <w:pageBreakBefore w:val="0"/>
        <w:kinsoku/>
        <w:wordWrap/>
        <w:overflowPunct/>
        <w:topLinePunct w:val="0"/>
        <w:autoSpaceDE w:val="0"/>
        <w:autoSpaceDN w:val="0"/>
        <w:bidi w:val="0"/>
        <w:adjustRightInd/>
        <w:snapToGrid w:val="0"/>
        <w:spacing w:line="560" w:lineRule="exact"/>
        <w:ind w:firstLine="640" w:firstLineChars="200"/>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lang w:val="en-US" w:eastAsia="zh-CN"/>
        </w:rPr>
        <w:t>6</w:t>
      </w:r>
      <w:r>
        <w:rPr>
          <w:rFonts w:hint="eastAsia" w:ascii="方正仿宋_GB2312" w:hAnsi="方正仿宋_GB2312" w:eastAsia="方正仿宋_GB2312" w:cs="方正仿宋_GB2312"/>
          <w:color w:val="000000"/>
          <w:kern w:val="0"/>
          <w:sz w:val="32"/>
          <w:szCs w:val="32"/>
        </w:rPr>
        <w:t>.</w:t>
      </w:r>
      <w:r>
        <w:rPr>
          <w:rFonts w:hint="eastAsia" w:ascii="方正仿宋_GB2312" w:hAnsi="方正仿宋_GB2312" w:eastAsia="方正仿宋_GB2312" w:cs="方正仿宋_GB2312"/>
          <w:b/>
          <w:bCs/>
          <w:color w:val="000000"/>
          <w:kern w:val="0"/>
          <w:sz w:val="32"/>
          <w:szCs w:val="32"/>
        </w:rPr>
        <w:t>非</w:t>
      </w:r>
      <w:r>
        <w:rPr>
          <w:rFonts w:hint="eastAsia" w:ascii="方正仿宋_GB2312" w:hAnsi="方正仿宋_GB2312" w:eastAsia="方正仿宋_GB2312" w:cs="方正仿宋_GB2312"/>
          <w:b/>
          <w:bCs/>
          <w:color w:val="000000"/>
          <w:kern w:val="0"/>
          <w:sz w:val="32"/>
          <w:szCs w:val="32"/>
          <w:lang w:val="en-US" w:eastAsia="zh-CN"/>
        </w:rPr>
        <w:t>我校</w:t>
      </w:r>
      <w:r>
        <w:rPr>
          <w:rFonts w:hint="eastAsia" w:ascii="方正仿宋_GB2312" w:hAnsi="方正仿宋_GB2312" w:eastAsia="方正仿宋_GB2312" w:cs="方正仿宋_GB2312"/>
          <w:b/>
          <w:bCs/>
          <w:color w:val="000000"/>
          <w:kern w:val="0"/>
          <w:sz w:val="32"/>
          <w:szCs w:val="32"/>
        </w:rPr>
        <w:t>全职人员，不得</w:t>
      </w:r>
      <w:r>
        <w:rPr>
          <w:rFonts w:hint="eastAsia" w:ascii="方正仿宋_GB2312" w:hAnsi="方正仿宋_GB2312" w:eastAsia="方正仿宋_GB2312" w:cs="方正仿宋_GB2312"/>
          <w:b/>
          <w:bCs/>
          <w:color w:val="000000"/>
          <w:kern w:val="0"/>
          <w:sz w:val="32"/>
          <w:szCs w:val="32"/>
          <w:lang w:val="en-US" w:eastAsia="zh-CN"/>
        </w:rPr>
        <w:t>作为申请人以我校为依托单位</w:t>
      </w:r>
      <w:r>
        <w:rPr>
          <w:rFonts w:hint="eastAsia" w:ascii="方正仿宋_GB2312" w:hAnsi="方正仿宋_GB2312" w:eastAsia="方正仿宋_GB2312" w:cs="方正仿宋_GB2312"/>
          <w:b/>
          <w:bCs/>
          <w:color w:val="000000"/>
          <w:kern w:val="0"/>
          <w:sz w:val="32"/>
          <w:szCs w:val="32"/>
        </w:rPr>
        <w:t>申请地区</w:t>
      </w:r>
      <w:r>
        <w:rPr>
          <w:rFonts w:hint="eastAsia" w:ascii="方正仿宋_GB2312" w:hAnsi="方正仿宋_GB2312" w:eastAsia="方正仿宋_GB2312" w:cs="方正仿宋_GB2312"/>
          <w:b/>
          <w:bCs/>
          <w:color w:val="000000"/>
          <w:kern w:val="0"/>
          <w:sz w:val="32"/>
          <w:szCs w:val="32"/>
          <w:lang w:val="en-US" w:eastAsia="zh-CN"/>
        </w:rPr>
        <w:t>基金</w:t>
      </w:r>
      <w:r>
        <w:rPr>
          <w:rFonts w:hint="eastAsia" w:ascii="方正仿宋_GB2312" w:hAnsi="方正仿宋_GB2312" w:eastAsia="方正仿宋_GB2312" w:cs="方正仿宋_GB2312"/>
          <w:b/>
          <w:bCs/>
          <w:color w:val="000000"/>
          <w:kern w:val="0"/>
          <w:sz w:val="32"/>
          <w:szCs w:val="32"/>
        </w:rPr>
        <w:t>项目</w:t>
      </w:r>
      <w:r>
        <w:rPr>
          <w:rFonts w:hint="eastAsia" w:ascii="方正仿宋_GB2312" w:hAnsi="方正仿宋_GB2312" w:eastAsia="方正仿宋_GB2312" w:cs="方正仿宋_GB2312"/>
          <w:color w:val="000000"/>
          <w:kern w:val="0"/>
          <w:sz w:val="32"/>
          <w:szCs w:val="32"/>
        </w:rPr>
        <w:t>，但可以作为主要参与者参与申请。自2016年起，作为项目负责人获得地区项目资助累计已满3项的科技人员不得作为申请人申请地区项目。</w:t>
      </w:r>
    </w:p>
    <w:p w14:paraId="78AEB6EC">
      <w:pPr>
        <w:keepNext w:val="0"/>
        <w:keepLines w:val="0"/>
        <w:pageBreakBefore w:val="0"/>
        <w:kinsoku/>
        <w:wordWrap/>
        <w:overflowPunct/>
        <w:topLinePunct w:val="0"/>
        <w:autoSpaceDE w:val="0"/>
        <w:autoSpaceDN w:val="0"/>
        <w:bidi w:val="0"/>
        <w:adjustRightInd/>
        <w:snapToGrid w:val="0"/>
        <w:spacing w:line="560" w:lineRule="exact"/>
        <w:ind w:firstLine="640" w:firstLineChars="200"/>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lang w:val="en-US" w:eastAsia="zh-CN"/>
        </w:rPr>
        <w:t>7.</w:t>
      </w:r>
      <w:r>
        <w:rPr>
          <w:rFonts w:hint="eastAsia" w:ascii="方正仿宋_GB2312" w:hAnsi="方正仿宋_GB2312" w:eastAsia="方正仿宋_GB2312" w:cs="方正仿宋_GB2312"/>
          <w:color w:val="000000"/>
          <w:kern w:val="0"/>
          <w:sz w:val="32"/>
          <w:szCs w:val="32"/>
        </w:rPr>
        <w:t>正在</w:t>
      </w:r>
      <w:r>
        <w:rPr>
          <w:rFonts w:hint="eastAsia" w:ascii="方正仿宋_GB2312" w:hAnsi="方正仿宋_GB2312" w:eastAsia="方正仿宋_GB2312" w:cs="方正仿宋_GB2312"/>
          <w:b/>
          <w:bCs/>
          <w:color w:val="000000"/>
          <w:kern w:val="0"/>
          <w:sz w:val="32"/>
          <w:szCs w:val="32"/>
        </w:rPr>
        <w:t>承担国家社科基金的负责人</w:t>
      </w:r>
      <w:r>
        <w:rPr>
          <w:rFonts w:hint="eastAsia" w:ascii="方正仿宋_GB2312" w:hAnsi="方正仿宋_GB2312" w:eastAsia="方正仿宋_GB2312" w:cs="方正仿宋_GB2312"/>
          <w:color w:val="000000"/>
          <w:kern w:val="0"/>
          <w:sz w:val="32"/>
          <w:szCs w:val="32"/>
        </w:rPr>
        <w:t>，不得申请管理学部项目(G字头申请代码)。已结题且2025年作为申请人申请管理学部项目的，须以附件方式在线提交加盖依托单位公章的《结项证书》扫描件。同一年度内，已经申请国家社科基金的，不得申请管理学部项目。</w:t>
      </w:r>
    </w:p>
    <w:p w14:paraId="0182A2A2">
      <w:pPr>
        <w:keepNext w:val="0"/>
        <w:keepLines w:val="0"/>
        <w:pageBreakBefore w:val="0"/>
        <w:widowControl/>
        <w:shd w:val="clear" w:color="auto" w:fill="FFFFFF"/>
        <w:kinsoku/>
        <w:wordWrap/>
        <w:overflowPunct/>
        <w:topLinePunct w:val="0"/>
        <w:bidi w:val="0"/>
        <w:adjustRightInd/>
        <w:snapToGrid w:val="0"/>
        <w:spacing w:line="560" w:lineRule="exact"/>
        <w:ind w:firstLine="640" w:firstLineChars="200"/>
        <w:textAlignment w:val="auto"/>
        <w:rPr>
          <w:rFonts w:hint="eastAsia"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二、相关限项要求</w:t>
      </w:r>
    </w:p>
    <w:p w14:paraId="0BA5C9EA">
      <w:pPr>
        <w:keepNext w:val="0"/>
        <w:keepLines w:val="0"/>
        <w:pageBreakBefore w:val="0"/>
        <w:widowControl/>
        <w:kinsoku/>
        <w:wordWrap/>
        <w:overflowPunct/>
        <w:topLinePunct w:val="0"/>
        <w:bidi w:val="0"/>
        <w:adjustRightInd/>
        <w:snapToGrid w:val="0"/>
        <w:spacing w:line="560" w:lineRule="exact"/>
        <w:ind w:firstLine="643" w:firstLineChars="200"/>
        <w:textAlignment w:val="auto"/>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b/>
          <w:bCs/>
          <w:kern w:val="0"/>
          <w:sz w:val="32"/>
          <w:szCs w:val="32"/>
        </w:rPr>
        <w:t>1. 各类型项目限项申请规定</w:t>
      </w:r>
    </w:p>
    <w:p w14:paraId="723FDE2A">
      <w:pPr>
        <w:keepNext w:val="0"/>
        <w:keepLines w:val="0"/>
        <w:pageBreakBefore w:val="0"/>
        <w:widowControl/>
        <w:kinsoku/>
        <w:wordWrap/>
        <w:overflowPunct/>
        <w:topLinePunct w:val="0"/>
        <w:bidi w:val="0"/>
        <w:adjustRightInd/>
        <w:snapToGrid w:val="0"/>
        <w:spacing w:line="560" w:lineRule="exact"/>
        <w:ind w:firstLine="640" w:firstLineChars="200"/>
        <w:textAlignment w:val="auto"/>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（1）申请人同年只能申请1项同类型项目［重大研究计划项目中的集成项目和战略研究项目、专项项目中的科技活动项目、国际(地区)合作交流项目除外；联合基金项目指同一名称联合基金］。</w:t>
      </w:r>
    </w:p>
    <w:p w14:paraId="64241270">
      <w:pPr>
        <w:keepNext w:val="0"/>
        <w:keepLines w:val="0"/>
        <w:pageBreakBefore w:val="0"/>
        <w:widowControl/>
        <w:kinsoku/>
        <w:wordWrap/>
        <w:overflowPunct/>
        <w:topLinePunct w:val="0"/>
        <w:bidi w:val="0"/>
        <w:adjustRightInd/>
        <w:snapToGrid w:val="0"/>
        <w:spacing w:line="560" w:lineRule="exact"/>
        <w:ind w:firstLine="640" w:firstLineChars="200"/>
        <w:textAlignment w:val="auto"/>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2）上年度获得面上项目、重点项目、重大项目、重大研究计划项目(不包括集成项目和战略研究项目)、联合基金项目(指同一名称联合基金)、地区科学基金项目资助的项目负责人，本年度不得作为申请人申请同类型项目。</w:t>
      </w:r>
    </w:p>
    <w:p w14:paraId="46D1B13E">
      <w:pPr>
        <w:keepNext w:val="0"/>
        <w:keepLines w:val="0"/>
        <w:pageBreakBefore w:val="0"/>
        <w:widowControl/>
        <w:kinsoku/>
        <w:wordWrap/>
        <w:overflowPunct/>
        <w:topLinePunct w:val="0"/>
        <w:bidi w:val="0"/>
        <w:adjustRightInd/>
        <w:snapToGrid w:val="0"/>
        <w:spacing w:line="560" w:lineRule="exact"/>
        <w:ind w:firstLine="643" w:firstLineChars="200"/>
        <w:textAlignment w:val="auto"/>
        <w:rPr>
          <w:rFonts w:hint="eastAsia" w:ascii="方正仿宋_GB2312" w:hAnsi="方正仿宋_GB2312" w:eastAsia="方正仿宋_GB2312" w:cs="方正仿宋_GB2312"/>
          <w:b/>
          <w:bCs/>
          <w:kern w:val="0"/>
          <w:sz w:val="32"/>
          <w:szCs w:val="32"/>
        </w:rPr>
      </w:pPr>
      <w:r>
        <w:rPr>
          <w:rFonts w:hint="eastAsia" w:ascii="方正仿宋_GB2312" w:hAnsi="方正仿宋_GB2312" w:eastAsia="方正仿宋_GB2312" w:cs="方正仿宋_GB2312"/>
          <w:b/>
          <w:bCs/>
          <w:kern w:val="0"/>
          <w:sz w:val="32"/>
          <w:szCs w:val="32"/>
        </w:rPr>
        <w:t>2. 除特别说明外，申请当年资助期满的项目不计入申请和承担项目总数范围。初审不予受理的项目不计入申请和承担项目总数范围。</w:t>
      </w:r>
    </w:p>
    <w:p w14:paraId="34C62ED9">
      <w:pPr>
        <w:keepNext w:val="0"/>
        <w:keepLines w:val="0"/>
        <w:pageBreakBefore w:val="0"/>
        <w:widowControl/>
        <w:kinsoku/>
        <w:wordWrap/>
        <w:overflowPunct/>
        <w:topLinePunct w:val="0"/>
        <w:bidi w:val="0"/>
        <w:adjustRightInd/>
        <w:snapToGrid w:val="0"/>
        <w:spacing w:line="560" w:lineRule="exact"/>
        <w:ind w:firstLine="643" w:firstLineChars="200"/>
        <w:textAlignment w:val="auto"/>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b/>
          <w:bCs/>
          <w:kern w:val="0"/>
          <w:sz w:val="32"/>
          <w:szCs w:val="32"/>
        </w:rPr>
        <w:t>3. 作为项目负责人限制获得资助次数的项目类型：</w:t>
      </w:r>
      <w:r>
        <w:rPr>
          <w:rFonts w:hint="eastAsia" w:ascii="方正仿宋_GB2312" w:hAnsi="方正仿宋_GB2312" w:eastAsia="方正仿宋_GB2312" w:cs="方正仿宋_GB2312"/>
          <w:kern w:val="0"/>
          <w:sz w:val="32"/>
          <w:szCs w:val="32"/>
        </w:rPr>
        <w:t>青年科学基金项目、优秀青年科学基金项目、国家杰出青年科学基金项目、创新研究群体项目，作为项目负责人仅能获得1次资助。</w:t>
      </w:r>
    </w:p>
    <w:p w14:paraId="31FFFA4C">
      <w:pPr>
        <w:keepNext w:val="0"/>
        <w:keepLines w:val="0"/>
        <w:pageBreakBefore w:val="0"/>
        <w:widowControl/>
        <w:kinsoku/>
        <w:wordWrap/>
        <w:overflowPunct/>
        <w:topLinePunct w:val="0"/>
        <w:bidi w:val="0"/>
        <w:adjustRightInd/>
        <w:snapToGrid w:val="0"/>
        <w:spacing w:line="560" w:lineRule="exact"/>
        <w:ind w:firstLine="640" w:firstLineChars="200"/>
        <w:textAlignment w:val="auto"/>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 xml:space="preserve">4. </w:t>
      </w:r>
      <w:r>
        <w:rPr>
          <w:rFonts w:hint="eastAsia" w:ascii="方正仿宋_GB2312" w:hAnsi="方正仿宋_GB2312" w:eastAsia="方正仿宋_GB2312" w:cs="方正仿宋_GB2312"/>
          <w:b/>
          <w:bCs/>
          <w:kern w:val="0"/>
          <w:sz w:val="32"/>
          <w:szCs w:val="32"/>
        </w:rPr>
        <w:t>仪器类项目总数限1项：</w:t>
      </w:r>
      <w:r>
        <w:rPr>
          <w:rFonts w:hint="eastAsia" w:ascii="方正仿宋_GB2312" w:hAnsi="方正仿宋_GB2312" w:eastAsia="方正仿宋_GB2312" w:cs="方正仿宋_GB2312"/>
          <w:kern w:val="0"/>
          <w:sz w:val="32"/>
          <w:szCs w:val="32"/>
        </w:rPr>
        <w:t>申请（包括申请人和主要参与者）和正在承担（包括负责人和主要参与者）国家重大科研仪器研制项目（含承担科学仪器基础研究专款项目和国家重大科研仪器设备研制专项项目），以及科技部主管的国家重大科学仪器设备开发专项项目总数限1项；国家重大科研仪器研制项目（部门推荐）获得资助后，项目负责人在结题前不得申请除国家杰出青年科学基金以外的其他类型项目。</w:t>
      </w:r>
    </w:p>
    <w:p w14:paraId="51E068CB">
      <w:pPr>
        <w:keepNext w:val="0"/>
        <w:keepLines w:val="0"/>
        <w:pageBreakBefore w:val="0"/>
        <w:widowControl/>
        <w:kinsoku/>
        <w:wordWrap/>
        <w:overflowPunct/>
        <w:topLinePunct w:val="0"/>
        <w:bidi w:val="0"/>
        <w:adjustRightInd/>
        <w:snapToGrid w:val="0"/>
        <w:spacing w:line="560" w:lineRule="exact"/>
        <w:ind w:firstLine="643" w:firstLineChars="200"/>
        <w:textAlignment w:val="auto"/>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b/>
          <w:bCs/>
          <w:kern w:val="0"/>
          <w:sz w:val="32"/>
          <w:szCs w:val="32"/>
        </w:rPr>
        <w:t>5. 不计入申请和承担项目总数范围的项目类型：</w:t>
      </w:r>
      <w:r>
        <w:rPr>
          <w:rFonts w:hint="eastAsia" w:ascii="方正仿宋_GB2312" w:hAnsi="方正仿宋_GB2312" w:eastAsia="方正仿宋_GB2312" w:cs="方正仿宋_GB2312"/>
          <w:kern w:val="0"/>
          <w:sz w:val="32"/>
          <w:szCs w:val="32"/>
        </w:rPr>
        <w:t>数学天元基金项目、直接费用小于或等于200万元/项的组织间国际(地区)合作研究项目、国际(地区)合作交流项目、重大研究计划项目中的集成项目和战略研究项目、外国学者研究基金项目、合作创新研究团队项目、专项项目中的科技活动项目、资助期限1年及以下的其他类型项目，以及项目指南中特别说明不受申请和承担项目总数限制的项目等。</w:t>
      </w:r>
    </w:p>
    <w:p w14:paraId="4EAA2A68">
      <w:pPr>
        <w:keepNext w:val="0"/>
        <w:keepLines w:val="0"/>
        <w:pageBreakBefore w:val="0"/>
        <w:widowControl/>
        <w:kinsoku/>
        <w:wordWrap/>
        <w:overflowPunct/>
        <w:topLinePunct w:val="0"/>
        <w:bidi w:val="0"/>
        <w:adjustRightInd/>
        <w:snapToGrid w:val="0"/>
        <w:spacing w:line="560" w:lineRule="exact"/>
        <w:ind w:firstLine="643" w:firstLineChars="200"/>
        <w:textAlignment w:val="auto"/>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b/>
          <w:bCs/>
          <w:kern w:val="0"/>
          <w:sz w:val="32"/>
          <w:szCs w:val="32"/>
        </w:rPr>
        <w:t>6. 原创探索计划项目申请及处于评审阶段时不计入限项，获批后计入（一年期及以下的项目除外）。</w:t>
      </w:r>
    </w:p>
    <w:p w14:paraId="7129BB95">
      <w:pPr>
        <w:keepNext w:val="0"/>
        <w:keepLines w:val="0"/>
        <w:pageBreakBefore w:val="0"/>
        <w:widowControl/>
        <w:kinsoku/>
        <w:wordWrap/>
        <w:overflowPunct/>
        <w:topLinePunct w:val="0"/>
        <w:bidi w:val="0"/>
        <w:adjustRightInd/>
        <w:snapToGrid w:val="0"/>
        <w:spacing w:line="560" w:lineRule="exact"/>
        <w:ind w:firstLine="643" w:firstLineChars="200"/>
        <w:textAlignment w:val="auto"/>
        <w:rPr>
          <w:rFonts w:hint="eastAsia" w:ascii="方正仿宋_GB2312" w:hAnsi="方正仿宋_GB2312" w:eastAsia="方正仿宋_GB2312" w:cs="方正仿宋_GB2312"/>
          <w:b/>
          <w:bCs/>
          <w:kern w:val="0"/>
          <w:sz w:val="32"/>
          <w:szCs w:val="32"/>
        </w:rPr>
      </w:pPr>
      <w:r>
        <w:rPr>
          <w:rFonts w:hint="eastAsia" w:ascii="方正仿宋_GB2312" w:hAnsi="方正仿宋_GB2312" w:eastAsia="方正仿宋_GB2312" w:cs="方正仿宋_GB2312"/>
          <w:b/>
          <w:bCs/>
          <w:kern w:val="0"/>
          <w:sz w:val="32"/>
          <w:szCs w:val="32"/>
        </w:rPr>
        <w:t>7. 具有高级专业技术职务（职称）的人员，申请（包括申请人和主要参与者）和正在承担（包括负责人和主要参与者）总数合计限为2项。</w:t>
      </w:r>
    </w:p>
    <w:p w14:paraId="690E413B">
      <w:pPr>
        <w:keepNext w:val="0"/>
        <w:keepLines w:val="0"/>
        <w:pageBreakBefore w:val="0"/>
        <w:widowControl/>
        <w:kinsoku/>
        <w:wordWrap/>
        <w:overflowPunct/>
        <w:topLinePunct w:val="0"/>
        <w:bidi w:val="0"/>
        <w:adjustRightInd/>
        <w:snapToGrid w:val="0"/>
        <w:spacing w:line="560" w:lineRule="exact"/>
        <w:ind w:firstLine="640" w:firstLineChars="200"/>
        <w:textAlignment w:val="auto"/>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具有高级专业技术职务（职称）的人员作为主要参与者正在承担的 2019 年（含）以前批准资助的项目不计入申请和承担总数范围，2020 年（含）以后申请（包括申请人和主要参与者）和批准（包括负责人和主要参与者）项目计入申请和承担总数范围。</w:t>
      </w:r>
    </w:p>
    <w:p w14:paraId="42AE645D">
      <w:pPr>
        <w:keepNext w:val="0"/>
        <w:keepLines w:val="0"/>
        <w:pageBreakBefore w:val="0"/>
        <w:widowControl/>
        <w:kinsoku/>
        <w:wordWrap/>
        <w:overflowPunct/>
        <w:topLinePunct w:val="0"/>
        <w:bidi w:val="0"/>
        <w:adjustRightInd/>
        <w:snapToGrid w:val="0"/>
        <w:spacing w:line="560" w:lineRule="exact"/>
        <w:ind w:firstLine="643" w:firstLineChars="200"/>
        <w:textAlignment w:val="auto"/>
        <w:rPr>
          <w:rFonts w:hint="eastAsia" w:ascii="方正仿宋_GB2312" w:hAnsi="方正仿宋_GB2312" w:eastAsia="方正仿宋_GB2312" w:cs="方正仿宋_GB2312"/>
          <w:b/>
          <w:bCs/>
          <w:kern w:val="0"/>
          <w:sz w:val="32"/>
          <w:szCs w:val="32"/>
        </w:rPr>
      </w:pPr>
      <w:r>
        <w:rPr>
          <w:rFonts w:hint="eastAsia" w:ascii="方正仿宋_GB2312" w:hAnsi="方正仿宋_GB2312" w:eastAsia="方正仿宋_GB2312" w:cs="方正仿宋_GB2312"/>
          <w:b/>
          <w:bCs/>
          <w:kern w:val="0"/>
          <w:sz w:val="32"/>
          <w:szCs w:val="32"/>
        </w:rPr>
        <w:t>不具有高级专业技术职务(职称)的人员作为申请人申请和作为项目负责人正在承担的上述类型项目数合计限1项，作为主要参与者申请和作为主要参与者正在承担的上述类型项目数合计限2项。</w:t>
      </w:r>
    </w:p>
    <w:p w14:paraId="150B987A">
      <w:pPr>
        <w:keepNext w:val="0"/>
        <w:keepLines w:val="0"/>
        <w:pageBreakBefore w:val="0"/>
        <w:widowControl/>
        <w:kinsoku/>
        <w:wordWrap/>
        <w:overflowPunct/>
        <w:topLinePunct w:val="0"/>
        <w:bidi w:val="0"/>
        <w:adjustRightInd/>
        <w:snapToGrid w:val="0"/>
        <w:spacing w:line="560" w:lineRule="exact"/>
        <w:ind w:firstLine="640" w:firstLineChars="200"/>
        <w:textAlignment w:val="auto"/>
        <w:rPr>
          <w:rFonts w:hint="eastAsia" w:ascii="方正仿宋_GB2312" w:hAnsi="方正仿宋_GB2312" w:eastAsia="方正仿宋_GB2312" w:cs="方正仿宋_GB2312"/>
          <w:b/>
          <w:bCs/>
          <w:kern w:val="0"/>
          <w:sz w:val="32"/>
          <w:szCs w:val="32"/>
        </w:rPr>
      </w:pPr>
      <w:r>
        <w:rPr>
          <w:rFonts w:hint="eastAsia" w:ascii="方正仿宋_GB2312" w:hAnsi="方正仿宋_GB2312" w:eastAsia="方正仿宋_GB2312" w:cs="方正仿宋_GB2312"/>
          <w:kern w:val="0"/>
          <w:sz w:val="32"/>
          <w:szCs w:val="32"/>
        </w:rPr>
        <w:t>不具有高级专业技术职务（职称）人员作为主要参与者承担的2022年（含）以前批准资助的项目不计入申请和承担项目总数范围，但作为项目负责人承担的计入；2023年（含）以后批准（包括项目负责人和主要参与者）项目计入申请和承担总数范围。</w:t>
      </w:r>
      <w:r>
        <w:rPr>
          <w:rFonts w:hint="eastAsia" w:ascii="方正仿宋_GB2312" w:hAnsi="方正仿宋_GB2312" w:eastAsia="方正仿宋_GB2312" w:cs="方正仿宋_GB2312"/>
          <w:b/>
          <w:bCs/>
          <w:kern w:val="0"/>
          <w:sz w:val="32"/>
          <w:szCs w:val="32"/>
        </w:rPr>
        <w:t>晋升为高级专业技术职务（职称）后，原来作为负责人正在承担的项目计入申请和承担项目总数范围，原来作为主要参与者正在承担的项目不计入。</w:t>
      </w:r>
    </w:p>
    <w:p w14:paraId="0D3A3CB0">
      <w:pPr>
        <w:keepNext w:val="0"/>
        <w:keepLines w:val="0"/>
        <w:pageBreakBefore w:val="0"/>
        <w:widowControl/>
        <w:kinsoku/>
        <w:wordWrap/>
        <w:overflowPunct/>
        <w:topLinePunct w:val="0"/>
        <w:bidi w:val="0"/>
        <w:adjustRightInd/>
        <w:snapToGrid w:val="0"/>
        <w:spacing w:line="560" w:lineRule="exact"/>
        <w:ind w:firstLine="643" w:firstLineChars="200"/>
        <w:textAlignment w:val="auto"/>
        <w:rPr>
          <w:rFonts w:hint="eastAsia" w:ascii="方正仿宋_GB2312" w:hAnsi="方正仿宋_GB2312" w:eastAsia="方正仿宋_GB2312" w:cs="方正仿宋_GB2312"/>
          <w:color w:val="000000" w:themeColor="text1"/>
          <w:kern w:val="0"/>
          <w:sz w:val="32"/>
          <w:szCs w:val="32"/>
          <w14:textFill>
            <w14:solidFill>
              <w14:schemeClr w14:val="tx1"/>
            </w14:solidFill>
          </w14:textFill>
        </w:rPr>
      </w:pPr>
      <w:r>
        <w:rPr>
          <w:rFonts w:hint="eastAsia" w:ascii="方正仿宋_GB2312" w:hAnsi="方正仿宋_GB2312" w:eastAsia="方正仿宋_GB2312" w:cs="方正仿宋_GB2312"/>
          <w:b/>
          <w:bCs/>
          <w:kern w:val="0"/>
          <w:sz w:val="32"/>
          <w:szCs w:val="32"/>
        </w:rPr>
        <w:t>8.优青、杰青与同层次国家科技人才计划的统筹衔接：</w:t>
      </w:r>
      <w:r>
        <w:rPr>
          <w:rFonts w:hint="eastAsia" w:ascii="方正仿宋_GB2312" w:hAnsi="方正仿宋_GB2312" w:eastAsia="方正仿宋_GB2312" w:cs="方正仿宋_GB2312"/>
          <w:color w:val="000000" w:themeColor="text1"/>
          <w:kern w:val="0"/>
          <w:sz w:val="32"/>
          <w:szCs w:val="32"/>
          <w14:textFill>
            <w14:solidFill>
              <w14:schemeClr w14:val="tx1"/>
            </w14:solidFill>
          </w14:textFill>
        </w:rPr>
        <w:t>（1）同层次国家科技人才计划只能承担一项，不能逆层次申请；（2）在同一层次以及上一层国家科技人才计划任何一类支持期内和支持期结束后，不得申请优秀青年科学基金项目；（3）在同层次科技人才计划任何一类支持期内和支持期结束后，不得申请国家杰出青年科学基金项目。</w:t>
      </w:r>
    </w:p>
    <w:p w14:paraId="0E36EA35">
      <w:pPr>
        <w:keepNext w:val="0"/>
        <w:keepLines w:val="0"/>
        <w:pageBreakBefore w:val="0"/>
        <w:widowControl/>
        <w:kinsoku/>
        <w:wordWrap/>
        <w:overflowPunct/>
        <w:topLinePunct w:val="0"/>
        <w:bidi w:val="0"/>
        <w:adjustRightInd/>
        <w:snapToGrid w:val="0"/>
        <w:spacing w:line="560" w:lineRule="exact"/>
        <w:ind w:firstLine="643" w:firstLineChars="200"/>
        <w:textAlignment w:val="auto"/>
        <w:rPr>
          <w:rFonts w:hint="eastAsia" w:ascii="方正仿宋_GB2312" w:hAnsi="方正仿宋_GB2312" w:eastAsia="方正仿宋_GB2312" w:cs="方正仿宋_GB2312"/>
          <w:color w:val="000000" w:themeColor="text1"/>
          <w:kern w:val="0"/>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kern w:val="0"/>
          <w:sz w:val="32"/>
          <w:szCs w:val="32"/>
          <w14:textFill>
            <w14:solidFill>
              <w14:schemeClr w14:val="tx1"/>
            </w14:solidFill>
          </w14:textFill>
        </w:rPr>
        <w:t>9.国家科技计划项目统筹（联合限项）：</w:t>
      </w:r>
      <w:r>
        <w:rPr>
          <w:rFonts w:hint="eastAsia" w:ascii="方正仿宋_GB2312" w:hAnsi="方正仿宋_GB2312" w:eastAsia="方正仿宋_GB2312" w:cs="方正仿宋_GB2312"/>
          <w:color w:val="000000" w:themeColor="text1"/>
          <w:kern w:val="0"/>
          <w:sz w:val="32"/>
          <w:szCs w:val="32"/>
          <w14:textFill>
            <w14:solidFill>
              <w14:schemeClr w14:val="tx1"/>
            </w14:solidFill>
          </w14:textFill>
        </w:rPr>
        <w:t>对以下国家科技计划项目，科研人员同期申请申请和承担的项目（课题）原则上不得超过2项：（1）重点研发计划（不含青年科学家项目、科技型中小企业项目、国际合作类项目；限项目负责人和课题负责人）；（2）科技创新2030-重大项目（不含青年科学家项目，限项目负责人和课题负责人）；（3）国家自然科学基金的重大项目（限项目负责人和课题负责人）、</w:t>
      </w:r>
      <w:r>
        <w:rPr>
          <w:rFonts w:hint="eastAsia" w:ascii="方正仿宋_GB2312" w:hAnsi="方正仿宋_GB2312" w:eastAsia="方正仿宋_GB2312" w:cs="方正仿宋_GB2312"/>
          <w:color w:val="000000"/>
          <w:kern w:val="0"/>
          <w:sz w:val="32"/>
          <w:szCs w:val="32"/>
        </w:rPr>
        <w:t>卓越研究群体项目（原基础科学中心）</w:t>
      </w:r>
      <w:r>
        <w:rPr>
          <w:rFonts w:hint="eastAsia" w:ascii="方正仿宋_GB2312" w:hAnsi="方正仿宋_GB2312" w:eastAsia="方正仿宋_GB2312" w:cs="方正仿宋_GB2312"/>
          <w:color w:val="000000" w:themeColor="text1"/>
          <w:kern w:val="0"/>
          <w:sz w:val="32"/>
          <w:szCs w:val="32"/>
          <w14:textFill>
            <w14:solidFill>
              <w14:schemeClr w14:val="tx1"/>
            </w14:solidFill>
          </w14:textFill>
        </w:rPr>
        <w:t>（限学术带头人和骨干成员）、国家重大科研仪器研制项目（限部门推荐类项目的项目负责人和具有高级职称的主要参与者）。</w:t>
      </w:r>
    </w:p>
    <w:p w14:paraId="6BC3A48E">
      <w:pPr>
        <w:keepNext w:val="0"/>
        <w:keepLines w:val="0"/>
        <w:pageBreakBefore w:val="0"/>
        <w:widowControl/>
        <w:shd w:val="clear" w:color="auto" w:fill="FFFFFF"/>
        <w:kinsoku/>
        <w:wordWrap/>
        <w:overflowPunct/>
        <w:topLinePunct w:val="0"/>
        <w:bidi w:val="0"/>
        <w:adjustRightInd/>
        <w:snapToGrid w:val="0"/>
        <w:spacing w:line="560" w:lineRule="exact"/>
        <w:ind w:firstLine="640" w:firstLineChars="200"/>
        <w:textAlignment w:val="auto"/>
        <w:rPr>
          <w:rFonts w:hint="eastAsia"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三、避免项目初审筛除</w:t>
      </w:r>
    </w:p>
    <w:p w14:paraId="2FB8FCE4">
      <w:pPr>
        <w:keepNext w:val="0"/>
        <w:keepLines w:val="0"/>
        <w:pageBreakBefore w:val="0"/>
        <w:kinsoku/>
        <w:wordWrap/>
        <w:overflowPunct/>
        <w:topLinePunct w:val="0"/>
        <w:autoSpaceDE w:val="0"/>
        <w:autoSpaceDN w:val="0"/>
        <w:bidi w:val="0"/>
        <w:adjustRightInd/>
        <w:snapToGrid w:val="0"/>
        <w:spacing w:line="560" w:lineRule="exact"/>
        <w:ind w:firstLine="640" w:firstLineChars="200"/>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常见初筛原因：申请内容不属于本学科资助范围（代码选择错误，未阅读指南学科要求）；超项（包括主要参与者）；未按要求提供证明材料、推荐信、导师同意函、伦理委员会证明，包括在职博士生未提供导师同意函、中级职称推荐信只有一封或无推荐信、推荐人身份不明没有注明单位和职称等；未按要求填写申请代码、附注说明；研究期限填写错误；申请人不具备该类项目的申请资格；其他不符合指南的情况。</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E64295-84DD-419F-B5E4-08F6BAA580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2" w:fontKey="{5F641134-ADA9-4FD4-9A52-3DB5D8CCB321}"/>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xOThmMTRmMzQ1MTAxNWZkNzZiN2Q5MmU1ODEwYzkifQ=="/>
  </w:docVars>
  <w:rsids>
    <w:rsidRoot w:val="00A171D3"/>
    <w:rsid w:val="00004870"/>
    <w:rsid w:val="00005AD0"/>
    <w:rsid w:val="00011C88"/>
    <w:rsid w:val="000305AB"/>
    <w:rsid w:val="00037795"/>
    <w:rsid w:val="00050373"/>
    <w:rsid w:val="000548C5"/>
    <w:rsid w:val="00067015"/>
    <w:rsid w:val="00076DDA"/>
    <w:rsid w:val="00090D66"/>
    <w:rsid w:val="000B3646"/>
    <w:rsid w:val="000C3523"/>
    <w:rsid w:val="000D05AC"/>
    <w:rsid w:val="000F758A"/>
    <w:rsid w:val="00100186"/>
    <w:rsid w:val="00101688"/>
    <w:rsid w:val="001023D5"/>
    <w:rsid w:val="00104F49"/>
    <w:rsid w:val="00115A89"/>
    <w:rsid w:val="001164D3"/>
    <w:rsid w:val="00126C15"/>
    <w:rsid w:val="001316D5"/>
    <w:rsid w:val="0015110C"/>
    <w:rsid w:val="001547C7"/>
    <w:rsid w:val="0015630D"/>
    <w:rsid w:val="00156CE0"/>
    <w:rsid w:val="00175D66"/>
    <w:rsid w:val="001826EF"/>
    <w:rsid w:val="0018601A"/>
    <w:rsid w:val="00196170"/>
    <w:rsid w:val="001B4094"/>
    <w:rsid w:val="001C6268"/>
    <w:rsid w:val="001E1605"/>
    <w:rsid w:val="001F32AB"/>
    <w:rsid w:val="00202E90"/>
    <w:rsid w:val="00213379"/>
    <w:rsid w:val="002156DE"/>
    <w:rsid w:val="0021774B"/>
    <w:rsid w:val="00223107"/>
    <w:rsid w:val="002274C7"/>
    <w:rsid w:val="002333D4"/>
    <w:rsid w:val="00244FC0"/>
    <w:rsid w:val="00247443"/>
    <w:rsid w:val="0024799A"/>
    <w:rsid w:val="002579C0"/>
    <w:rsid w:val="0027531D"/>
    <w:rsid w:val="00280669"/>
    <w:rsid w:val="00285225"/>
    <w:rsid w:val="00285D64"/>
    <w:rsid w:val="002C6EAA"/>
    <w:rsid w:val="002D3336"/>
    <w:rsid w:val="002F76FC"/>
    <w:rsid w:val="00303CEF"/>
    <w:rsid w:val="00330D08"/>
    <w:rsid w:val="00347439"/>
    <w:rsid w:val="0035083C"/>
    <w:rsid w:val="00350C3B"/>
    <w:rsid w:val="0035510A"/>
    <w:rsid w:val="003720CF"/>
    <w:rsid w:val="00372681"/>
    <w:rsid w:val="003803B1"/>
    <w:rsid w:val="00385454"/>
    <w:rsid w:val="003911D9"/>
    <w:rsid w:val="0039431D"/>
    <w:rsid w:val="003A380A"/>
    <w:rsid w:val="003A7721"/>
    <w:rsid w:val="003A7D6F"/>
    <w:rsid w:val="003F2F74"/>
    <w:rsid w:val="00405C0F"/>
    <w:rsid w:val="00407EDD"/>
    <w:rsid w:val="00417204"/>
    <w:rsid w:val="0042775C"/>
    <w:rsid w:val="00430308"/>
    <w:rsid w:val="00435496"/>
    <w:rsid w:val="0044285B"/>
    <w:rsid w:val="00446121"/>
    <w:rsid w:val="00447C64"/>
    <w:rsid w:val="00454FDF"/>
    <w:rsid w:val="00461A45"/>
    <w:rsid w:val="0047074F"/>
    <w:rsid w:val="0048381E"/>
    <w:rsid w:val="004876FD"/>
    <w:rsid w:val="004A72ED"/>
    <w:rsid w:val="004B1DCD"/>
    <w:rsid w:val="004B45F3"/>
    <w:rsid w:val="004D34EC"/>
    <w:rsid w:val="00512263"/>
    <w:rsid w:val="0051718A"/>
    <w:rsid w:val="00517769"/>
    <w:rsid w:val="005308C5"/>
    <w:rsid w:val="00543A3D"/>
    <w:rsid w:val="00551C0E"/>
    <w:rsid w:val="005626D4"/>
    <w:rsid w:val="00585401"/>
    <w:rsid w:val="005A4D47"/>
    <w:rsid w:val="005A6B73"/>
    <w:rsid w:val="005B50C3"/>
    <w:rsid w:val="005E28D1"/>
    <w:rsid w:val="005F0471"/>
    <w:rsid w:val="00606217"/>
    <w:rsid w:val="006102D9"/>
    <w:rsid w:val="006151ED"/>
    <w:rsid w:val="006170A3"/>
    <w:rsid w:val="006453FF"/>
    <w:rsid w:val="00645E9D"/>
    <w:rsid w:val="00654062"/>
    <w:rsid w:val="006555B2"/>
    <w:rsid w:val="00657D10"/>
    <w:rsid w:val="00664159"/>
    <w:rsid w:val="0066586C"/>
    <w:rsid w:val="00683844"/>
    <w:rsid w:val="00693BC8"/>
    <w:rsid w:val="0069524B"/>
    <w:rsid w:val="006975A6"/>
    <w:rsid w:val="006A3E51"/>
    <w:rsid w:val="006A5DB3"/>
    <w:rsid w:val="006B11B3"/>
    <w:rsid w:val="006B385E"/>
    <w:rsid w:val="006B3869"/>
    <w:rsid w:val="006B5DAD"/>
    <w:rsid w:val="006C440D"/>
    <w:rsid w:val="006D3305"/>
    <w:rsid w:val="006D37EF"/>
    <w:rsid w:val="006D39F8"/>
    <w:rsid w:val="006D3F55"/>
    <w:rsid w:val="006D425A"/>
    <w:rsid w:val="006D6D31"/>
    <w:rsid w:val="006E4F65"/>
    <w:rsid w:val="006F295A"/>
    <w:rsid w:val="006F3C77"/>
    <w:rsid w:val="006F4A0A"/>
    <w:rsid w:val="006F7A71"/>
    <w:rsid w:val="00700F13"/>
    <w:rsid w:val="00702B55"/>
    <w:rsid w:val="00704A90"/>
    <w:rsid w:val="00710F1B"/>
    <w:rsid w:val="00711D18"/>
    <w:rsid w:val="00712381"/>
    <w:rsid w:val="0071397B"/>
    <w:rsid w:val="0071508E"/>
    <w:rsid w:val="00720C27"/>
    <w:rsid w:val="007236F4"/>
    <w:rsid w:val="00725650"/>
    <w:rsid w:val="007268E9"/>
    <w:rsid w:val="007320E8"/>
    <w:rsid w:val="00732722"/>
    <w:rsid w:val="007417A0"/>
    <w:rsid w:val="00754B85"/>
    <w:rsid w:val="00757EEB"/>
    <w:rsid w:val="007802EA"/>
    <w:rsid w:val="00787FA9"/>
    <w:rsid w:val="007934A3"/>
    <w:rsid w:val="00797837"/>
    <w:rsid w:val="007A1A4D"/>
    <w:rsid w:val="007B006E"/>
    <w:rsid w:val="007B2CD3"/>
    <w:rsid w:val="007B6253"/>
    <w:rsid w:val="007C1767"/>
    <w:rsid w:val="007C36BE"/>
    <w:rsid w:val="007C41F8"/>
    <w:rsid w:val="007D3ACD"/>
    <w:rsid w:val="007D4EC9"/>
    <w:rsid w:val="007F6DA4"/>
    <w:rsid w:val="00803AD3"/>
    <w:rsid w:val="008165FC"/>
    <w:rsid w:val="00825AF0"/>
    <w:rsid w:val="0084784E"/>
    <w:rsid w:val="00857FB4"/>
    <w:rsid w:val="008679EC"/>
    <w:rsid w:val="00880D6B"/>
    <w:rsid w:val="00887158"/>
    <w:rsid w:val="00890659"/>
    <w:rsid w:val="00894D24"/>
    <w:rsid w:val="00894F25"/>
    <w:rsid w:val="00896D46"/>
    <w:rsid w:val="00896ED5"/>
    <w:rsid w:val="008A5E47"/>
    <w:rsid w:val="008B42E8"/>
    <w:rsid w:val="008C37B5"/>
    <w:rsid w:val="008D6969"/>
    <w:rsid w:val="008E56DA"/>
    <w:rsid w:val="008F541F"/>
    <w:rsid w:val="008F7E53"/>
    <w:rsid w:val="00907627"/>
    <w:rsid w:val="00907BA4"/>
    <w:rsid w:val="0091258E"/>
    <w:rsid w:val="00912A70"/>
    <w:rsid w:val="00933FCA"/>
    <w:rsid w:val="009437E8"/>
    <w:rsid w:val="009757FD"/>
    <w:rsid w:val="00994796"/>
    <w:rsid w:val="00995D13"/>
    <w:rsid w:val="009973A2"/>
    <w:rsid w:val="009A1A21"/>
    <w:rsid w:val="009A2A24"/>
    <w:rsid w:val="009A6AB5"/>
    <w:rsid w:val="009B01E5"/>
    <w:rsid w:val="009C05C0"/>
    <w:rsid w:val="009C530E"/>
    <w:rsid w:val="009D1F19"/>
    <w:rsid w:val="009D46AF"/>
    <w:rsid w:val="009D5E06"/>
    <w:rsid w:val="009D629B"/>
    <w:rsid w:val="009E5890"/>
    <w:rsid w:val="00A02C8D"/>
    <w:rsid w:val="00A06AB5"/>
    <w:rsid w:val="00A171D3"/>
    <w:rsid w:val="00A2266D"/>
    <w:rsid w:val="00A24E64"/>
    <w:rsid w:val="00A34CF8"/>
    <w:rsid w:val="00A44F38"/>
    <w:rsid w:val="00A55053"/>
    <w:rsid w:val="00A67F1D"/>
    <w:rsid w:val="00A71310"/>
    <w:rsid w:val="00A732F6"/>
    <w:rsid w:val="00A750BA"/>
    <w:rsid w:val="00A80186"/>
    <w:rsid w:val="00A81E9C"/>
    <w:rsid w:val="00AA200D"/>
    <w:rsid w:val="00AB0CF2"/>
    <w:rsid w:val="00AE6F0C"/>
    <w:rsid w:val="00AF1316"/>
    <w:rsid w:val="00B03A83"/>
    <w:rsid w:val="00B03B29"/>
    <w:rsid w:val="00B059AA"/>
    <w:rsid w:val="00B07C11"/>
    <w:rsid w:val="00B12E20"/>
    <w:rsid w:val="00B13389"/>
    <w:rsid w:val="00B229BC"/>
    <w:rsid w:val="00B416F4"/>
    <w:rsid w:val="00B41B85"/>
    <w:rsid w:val="00B57463"/>
    <w:rsid w:val="00B64F44"/>
    <w:rsid w:val="00B83A96"/>
    <w:rsid w:val="00B96B49"/>
    <w:rsid w:val="00B972D6"/>
    <w:rsid w:val="00BA57B6"/>
    <w:rsid w:val="00BB12B1"/>
    <w:rsid w:val="00BB133C"/>
    <w:rsid w:val="00BB6415"/>
    <w:rsid w:val="00BC6346"/>
    <w:rsid w:val="00BE093A"/>
    <w:rsid w:val="00BF2EF8"/>
    <w:rsid w:val="00BF58F9"/>
    <w:rsid w:val="00C01D1F"/>
    <w:rsid w:val="00C21538"/>
    <w:rsid w:val="00C3273D"/>
    <w:rsid w:val="00C44367"/>
    <w:rsid w:val="00C54FEF"/>
    <w:rsid w:val="00C55165"/>
    <w:rsid w:val="00C57889"/>
    <w:rsid w:val="00C579AF"/>
    <w:rsid w:val="00C638B3"/>
    <w:rsid w:val="00C63AB4"/>
    <w:rsid w:val="00C7327C"/>
    <w:rsid w:val="00C82C2C"/>
    <w:rsid w:val="00C908CE"/>
    <w:rsid w:val="00C92856"/>
    <w:rsid w:val="00C95A82"/>
    <w:rsid w:val="00CA4FFF"/>
    <w:rsid w:val="00CD5F6F"/>
    <w:rsid w:val="00CE388E"/>
    <w:rsid w:val="00D06A63"/>
    <w:rsid w:val="00D06BDB"/>
    <w:rsid w:val="00D166D4"/>
    <w:rsid w:val="00D16ED0"/>
    <w:rsid w:val="00D30271"/>
    <w:rsid w:val="00D37594"/>
    <w:rsid w:val="00D45CA9"/>
    <w:rsid w:val="00D477A4"/>
    <w:rsid w:val="00D56448"/>
    <w:rsid w:val="00D564A1"/>
    <w:rsid w:val="00D77533"/>
    <w:rsid w:val="00D9138C"/>
    <w:rsid w:val="00D91B81"/>
    <w:rsid w:val="00D9621E"/>
    <w:rsid w:val="00DB3992"/>
    <w:rsid w:val="00DC247C"/>
    <w:rsid w:val="00DC59EF"/>
    <w:rsid w:val="00DD2613"/>
    <w:rsid w:val="00DE4A6A"/>
    <w:rsid w:val="00DE59A4"/>
    <w:rsid w:val="00E0110E"/>
    <w:rsid w:val="00E1240F"/>
    <w:rsid w:val="00E12637"/>
    <w:rsid w:val="00E16791"/>
    <w:rsid w:val="00E212BE"/>
    <w:rsid w:val="00E32D4A"/>
    <w:rsid w:val="00E34EFF"/>
    <w:rsid w:val="00E366C1"/>
    <w:rsid w:val="00E732FB"/>
    <w:rsid w:val="00E800E1"/>
    <w:rsid w:val="00E8218F"/>
    <w:rsid w:val="00E83BEB"/>
    <w:rsid w:val="00EB2158"/>
    <w:rsid w:val="00EB6B4C"/>
    <w:rsid w:val="00EC0FFC"/>
    <w:rsid w:val="00EC4606"/>
    <w:rsid w:val="00EC499E"/>
    <w:rsid w:val="00EC73A3"/>
    <w:rsid w:val="00ED06EC"/>
    <w:rsid w:val="00EE03E0"/>
    <w:rsid w:val="00EE3405"/>
    <w:rsid w:val="00EE3941"/>
    <w:rsid w:val="00EE673B"/>
    <w:rsid w:val="00EF2F6C"/>
    <w:rsid w:val="00EF545F"/>
    <w:rsid w:val="00F00333"/>
    <w:rsid w:val="00F079C1"/>
    <w:rsid w:val="00F14E6E"/>
    <w:rsid w:val="00F227DA"/>
    <w:rsid w:val="00F36A6C"/>
    <w:rsid w:val="00F4249B"/>
    <w:rsid w:val="00F659B4"/>
    <w:rsid w:val="00F7723A"/>
    <w:rsid w:val="00F777EB"/>
    <w:rsid w:val="00F87374"/>
    <w:rsid w:val="00F95BB1"/>
    <w:rsid w:val="00FA210B"/>
    <w:rsid w:val="00FA40DE"/>
    <w:rsid w:val="00FA5C26"/>
    <w:rsid w:val="00FB6FC6"/>
    <w:rsid w:val="00FC251D"/>
    <w:rsid w:val="00FC4E43"/>
    <w:rsid w:val="00FC7411"/>
    <w:rsid w:val="00FE4CD4"/>
    <w:rsid w:val="05000522"/>
    <w:rsid w:val="0D5F6939"/>
    <w:rsid w:val="12930218"/>
    <w:rsid w:val="13FA0E0D"/>
    <w:rsid w:val="25A07D36"/>
    <w:rsid w:val="25F30CD1"/>
    <w:rsid w:val="299059E1"/>
    <w:rsid w:val="2B7D4158"/>
    <w:rsid w:val="30A4454B"/>
    <w:rsid w:val="3B2F4CA9"/>
    <w:rsid w:val="3BAB453E"/>
    <w:rsid w:val="55792D6F"/>
    <w:rsid w:val="5E5B12A1"/>
    <w:rsid w:val="5EAE7A93"/>
    <w:rsid w:val="623B50E5"/>
    <w:rsid w:val="7DC72D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rPr>
      <w:rFonts w:ascii="Times New Roman" w:hAnsi="Times New Roman" w:cs="Times New Roman"/>
      <w:sz w:val="24"/>
      <w:szCs w:val="24"/>
    </w:rPr>
  </w:style>
  <w:style w:type="character" w:styleId="8">
    <w:name w:val="Strong"/>
    <w:basedOn w:val="7"/>
    <w:qFormat/>
    <w:uiPriority w:val="0"/>
    <w:rPr>
      <w:b/>
      <w:bCs/>
    </w:rPr>
  </w:style>
  <w:style w:type="character" w:styleId="9">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10">
    <w:name w:val="Hyperlink"/>
    <w:basedOn w:val="7"/>
    <w:unhideWhenUsed/>
    <w:qFormat/>
    <w:uiPriority w:val="99"/>
    <w:rPr>
      <w:color w:val="0000FF" w:themeColor="hyperlink"/>
      <w:u w:val="single"/>
      <w14:textFill>
        <w14:solidFill>
          <w14:schemeClr w14:val="hlink"/>
        </w14:solidFill>
      </w14:textFill>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paragraph" w:customStyle="1" w:styleId="13">
    <w:name w:val="Default"/>
    <w:qFormat/>
    <w:uiPriority w:val="0"/>
    <w:pPr>
      <w:widowControl w:val="0"/>
      <w:autoSpaceDE w:val="0"/>
      <w:autoSpaceDN w:val="0"/>
      <w:adjustRightInd w:val="0"/>
    </w:pPr>
    <w:rPr>
      <w:rFonts w:ascii="Calibri" w:hAnsi="Calibri" w:cs="Calibri" w:eastAsiaTheme="minorEastAsia"/>
      <w:color w:val="000000"/>
      <w:sz w:val="24"/>
      <w:szCs w:val="24"/>
      <w:lang w:val="en-US" w:eastAsia="zh-CN" w:bidi="ar-SA"/>
    </w:rPr>
  </w:style>
  <w:style w:type="character" w:customStyle="1" w:styleId="14">
    <w:name w:val="批注框文本 字符"/>
    <w:basedOn w:val="7"/>
    <w:link w:val="2"/>
    <w:semiHidden/>
    <w:qFormat/>
    <w:uiPriority w:val="99"/>
    <w:rPr>
      <w:sz w:val="18"/>
      <w:szCs w:val="18"/>
    </w:rPr>
  </w:style>
  <w:style w:type="character" w:customStyle="1" w:styleId="15">
    <w:name w:val="未处理的提及1"/>
    <w:basedOn w:val="7"/>
    <w:semiHidden/>
    <w:unhideWhenUsed/>
    <w:qFormat/>
    <w:uiPriority w:val="99"/>
    <w:rPr>
      <w:color w:val="605E5C"/>
      <w:shd w:val="clear" w:color="auto" w:fill="E1DFDD"/>
    </w:rPr>
  </w:style>
  <w:style w:type="paragraph" w:customStyle="1" w:styleId="16">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BFB1F-8B19-4706-8E0D-8F398D8FFDF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2589</Words>
  <Characters>2631</Characters>
  <Lines>46</Lines>
  <Paragraphs>13</Paragraphs>
  <TotalTime>6</TotalTime>
  <ScaleCrop>false</ScaleCrop>
  <LinksUpToDate>false</LinksUpToDate>
  <CharactersWithSpaces>2642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2025-01-14T07:10:00Z</dcterms:created>
  <dc:creator>User</dc:creator>
  <cp:lastModifiedBy>茶包喵</cp:lastModifiedBy>
  <cp:lastPrinted>2015-01-16T04:08:00Z</cp:lastPrinted>
  <dcterms:modified xsi:type="dcterms:W3CDTF">2025-01-20T03:22:53Z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7A2CDFC908BC4A92ABB1A2033DDB5171_13</vt:lpwstr>
  </property>
  <property fmtid="{D5CDD505-2E9C-101B-9397-08002B2CF9AE}" pid="4" name="KSOTemplateDocerSaveRecord">
    <vt:lpwstr>eyJoZGlkIjoiMmQzYjgxN2FjM2YyZWFiNWY3NGJiZjU1NGVhMDk1M2IiLCJ1c2VySWQiOiIyNDg0ODQ2NTEifQ==</vt:lpwstr>
  </property>
</Properties>
</file>