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val="0"/>
          <w:bCs w:val="0"/>
          <w:i w:val="0"/>
          <w:iCs w:val="0"/>
          <w:caps w:val="0"/>
          <w:color w:val="000000"/>
          <w:spacing w:val="0"/>
          <w:sz w:val="33"/>
          <w:szCs w:val="33"/>
        </w:rPr>
      </w:pPr>
      <w:r>
        <w:rPr>
          <w:rFonts w:hint="default" w:ascii="Helvetica" w:hAnsi="Helvetica" w:eastAsia="Helvetica" w:cs="Helvetica"/>
          <w:b w:val="0"/>
          <w:bCs w:val="0"/>
          <w:i w:val="0"/>
          <w:iCs w:val="0"/>
          <w:caps w:val="0"/>
          <w:color w:val="000000"/>
          <w:spacing w:val="0"/>
          <w:sz w:val="33"/>
          <w:szCs w:val="33"/>
          <w:bdr w:val="none" w:color="auto" w:sz="0" w:space="0"/>
          <w:shd w:val="clear" w:fill="FFFFFF"/>
        </w:rPr>
        <w:t>与</w:t>
      </w:r>
      <w:bookmarkStart w:id="0" w:name="_GoBack"/>
      <w:r>
        <w:rPr>
          <w:rFonts w:hint="default" w:ascii="Helvetica" w:hAnsi="Helvetica" w:eastAsia="Helvetica" w:cs="Helvetica"/>
          <w:b w:val="0"/>
          <w:bCs w:val="0"/>
          <w:i w:val="0"/>
          <w:iCs w:val="0"/>
          <w:caps w:val="0"/>
          <w:color w:val="000000"/>
          <w:spacing w:val="0"/>
          <w:sz w:val="33"/>
          <w:szCs w:val="33"/>
          <w:bdr w:val="none" w:color="auto" w:sz="0" w:space="0"/>
          <w:shd w:val="clear" w:fill="FFFFFF"/>
        </w:rPr>
        <w:t>法国巴黎综合理工大学</w:t>
      </w:r>
      <w:bookmarkEnd w:id="0"/>
      <w:r>
        <w:rPr>
          <w:rFonts w:hint="default" w:ascii="Helvetica" w:hAnsi="Helvetica" w:eastAsia="Helvetica" w:cs="Helvetica"/>
          <w:b w:val="0"/>
          <w:bCs w:val="0"/>
          <w:i w:val="0"/>
          <w:iCs w:val="0"/>
          <w:caps w:val="0"/>
          <w:color w:val="000000"/>
          <w:spacing w:val="0"/>
          <w:sz w:val="33"/>
          <w:szCs w:val="33"/>
          <w:bdr w:val="none" w:color="auto" w:sz="0" w:space="0"/>
          <w:shd w:val="clear" w:fill="FFFFFF"/>
        </w:rPr>
        <w:t>合作奖学金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一、项目简介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巴黎综合理工大学，简称IP Paris，由五所成员学校Ecole polytechnique（巴黎综合理工学院）、ENSTA Paris（国立高等先进技术学院）、ENSAE Paris（国立统计与经济管理学院）、Télécom Paris（巴黎高等电信学院）和Télécom SudParis（南巴黎高等电信学院）等五所法国顶尖工程师学校整合而成，其中巴黎综合理工学院在2021年QS世界大学排名中位列全法第2，全球第61。IP Paris拥有30多个大型研究实验室及跨学科创新中心，是理工科领域世界超一流的教学研究机构，尤其在气候变化、能源、安全、数字和创新材料领域拥有领先地位。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根据国家留学基金管理委员会（以下简称国家留学基金委）与巴黎综合理工大学合作协议，双方共同资助优秀青年赴法攻读工程师硕士、硕博连读、博士研究生或进行博士生联合培养。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4"/>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二、协议内容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协议名额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工程师硕士 不超过35人/年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硕博连读  不超过15人/年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博士学位及博士生联合培养  共计不超过30人/年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2.</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选派类别及资助期限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工程师硕士学位：24个月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1674" w:right="0" w:hanging="120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硕博连读：不超过60个月（其中前24个月为硕士，后36个月为博士。录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132"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取时身份为硕士研究生，入学后法方即指定一名教授予以指导，并延续至博士期间。硕士转博士时，学生无需向法方提出申请，转为博士研究生后，中方将根据法方提供的名单将留学人员身份调整为博士研究生）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博士研究生: 36-48个月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联合培养博士研究生: 6-24个月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3.</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选派学科、专业领域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工程师硕士开放所有硕士课程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硕博连读开放所有合作领域：先进材料、生命科学、界面化学、信息科学、数据与人工智能、经济学、电子电力自动化、气候能源、数学、力学、物理学、量子力学。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博士研究生及联合培养博士开放所有合作领域：基础数学及应用数学、计算机及人工智能、物理、通讯信息及电子、机械与能源工程、经济管理与社会科学、生物与化学。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4.</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资助内容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国家留学基金提供一次往返国际旅费和资助期限内的国家公派留学人员奖学金，奖学金资助标准及方式按照国家有关规定执行。法方为攻读工程师学位学生减免部分或全部学费（具体金额请咨询法方），为所有项目录取人员解决住宿，协助办理银行开户和居留手续，并提供至少一年的免费法语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4"/>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三、申请条件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1.申请人应符合《2021年国家留学基金资助出国留学人员选派简章》规定的基本条件，博士、联合培养博士申请人应符合《2021年国家建设高水平大学公派研究生项目选派办法》中规定的申请条件。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2.拥护中国共产党的领导和中国特色社会主义制度，热爱祖国，具有服务国家、服务社会、服务人民的责任感和端正的世界观、人生观、价值观。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3.具有良好专业基础和发展潜力，在工作、学习中表现突出，具有学成回国为国家建设服务的事业心和使命感。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4.具有中华人民共和国国籍，不具有国外永久居留权。申请时年龄满18周岁。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5.身体健康，心理健康。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攻读工程师硕士及硕博连读申请人应为国内院校推荐的应届本科毕业生或已获得国内院校学士学位学生。攻读博士学位申请人应为应届硕士毕业生或已获得硕士学位学生。进行博士联合培养的申请人应为国内院校博士在读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7.申请人须达到巴黎综合理工大学在学术和外语水平方面的选拔标准，并获得成员学校正式录取通知或邀请信。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8.申请人须获得外方对于“国家留学基金管理委员会与法国巴黎综合理工大学合作奖学金”的提名资格。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9.攻读工程师硕士的申请人，若留学单位为ENSTA Paris（国立高等先进技术学院）、ENSAE Paris（国立统计与经济管理学院）、Télécom Pari（巴黎高等电信学院）和Télécom SudParis（南巴黎高等电信学院），派出前法语须达到B1。其中Télécom Pari（巴黎高等电信学院）和Télécom SudParis（南巴黎高等电信学院）少数专业可申请英文授课，邀请信中须注明英语为授课语言，且申请人英语水平达到入学要求。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4"/>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四、申请办法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1.申请准备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2021年4月，申请人应自行联系巴黎综合理工大学，提交申请材料并取得校方录取通知及合作奖学金提名资格。具体要求、程序和截止日期以巴黎综合理工大学官方网站公布的信息为准。申请人在申请过程中（外方申请表首页上方）应注明申请 “CSC/IP Joint Program”。外方申请网址: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工程师硕士：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sz w:val="24"/>
          <w:szCs w:val="24"/>
        </w:rPr>
      </w:pP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"https://dca-concours.polytechnique.fr/fui/welcome/cand.php?lang=fr"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6"/>
          <w:rFonts w:hint="default" w:ascii="Helvetica" w:hAnsi="Helvetica" w:eastAsia="Helvetica" w:cs="Helvetica"/>
          <w:i w:val="0"/>
          <w:iCs w:val="0"/>
          <w:caps w:val="0"/>
          <w:spacing w:val="0"/>
          <w:sz w:val="24"/>
          <w:szCs w:val="24"/>
          <w:bdr w:val="none" w:color="auto" w:sz="0" w:space="0"/>
          <w:shd w:val="clear" w:fill="FFFFFF"/>
        </w:rPr>
        <w:t>https://dca-concours.polytechnique.fr/fui/welcome/cand.php?lang=fr </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硕博连读：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sz w:val="24"/>
          <w:szCs w:val="24"/>
        </w:rPr>
      </w:pP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"https://formulaires.polytechnique.fr/candidatures/logincandidature/index.php?cursus=MI"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6"/>
          <w:rFonts w:hint="default" w:ascii="Helvetica" w:hAnsi="Helvetica" w:eastAsia="Helvetica" w:cs="Helvetica"/>
          <w:i w:val="0"/>
          <w:iCs w:val="0"/>
          <w:caps w:val="0"/>
          <w:spacing w:val="0"/>
          <w:sz w:val="24"/>
          <w:szCs w:val="24"/>
          <w:bdr w:val="none" w:color="auto" w:sz="0" w:space="0"/>
          <w:shd w:val="clear" w:fill="FFFFFF"/>
        </w:rPr>
        <w:t>https://formulaires.polytechnique.fr/candidatures/logincandidature/index.php?cursus=MI</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博士研究生及联合培养博士：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sz w:val="24"/>
          <w:szCs w:val="24"/>
        </w:rPr>
      </w:pP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"https://www.adum.fr/as/ed/proposition.pl?site=EDIPParis"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6"/>
          <w:rFonts w:hint="default" w:ascii="Helvetica" w:hAnsi="Helvetica" w:eastAsia="Helvetica" w:cs="Helvetica"/>
          <w:i w:val="0"/>
          <w:iCs w:val="0"/>
          <w:caps w:val="0"/>
          <w:spacing w:val="0"/>
          <w:sz w:val="24"/>
          <w:szCs w:val="24"/>
          <w:bdr w:val="none" w:color="auto" w:sz="0" w:space="0"/>
          <w:shd w:val="clear" w:fill="FFFFFF"/>
        </w:rPr>
        <w:t>https://www.adum.fr/as/ed/proposition.pl?site=EDIPParis</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iCs/>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—其中数学专业申请地址：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sz w:val="24"/>
          <w:szCs w:val="24"/>
        </w:rPr>
      </w:pPr>
      <w:r>
        <w:rPr>
          <w:rStyle w:val="6"/>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Style w:val="6"/>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"https://www.adum.fr/as/ed/proposition.pl?site=psedmh%A3%A9" \t "https://www.csc.edu.cn/article/_blank" </w:instrText>
      </w:r>
      <w:r>
        <w:rPr>
          <w:rStyle w:val="6"/>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6"/>
          <w:rFonts w:hint="default" w:ascii="Helvetica" w:hAnsi="Helvetica" w:eastAsia="Helvetica" w:cs="Helvetica"/>
          <w:i w:val="0"/>
          <w:iCs w:val="0"/>
          <w:caps w:val="0"/>
          <w:spacing w:val="0"/>
          <w:sz w:val="24"/>
          <w:szCs w:val="24"/>
          <w:bdr w:val="none" w:color="auto" w:sz="0" w:space="0"/>
          <w:shd w:val="clear" w:fill="FFFFFF"/>
        </w:rPr>
        <w:t>https://www.adum.fr/as/ed/proposition.pl?site=psedmh）</w:t>
      </w:r>
      <w:r>
        <w:rPr>
          <w:rStyle w:val="6"/>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2.申请时间及方式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所有申请人须于2021年4月10日—30日之间登录国家公派留学管理信息平台（</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"http://apply.csc.edu.cn/"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6"/>
          <w:rFonts w:hint="default" w:ascii="Helvetica" w:hAnsi="Helvetica" w:eastAsia="Helvetica" w:cs="Helvetica"/>
          <w:i w:val="0"/>
          <w:iCs w:val="0"/>
          <w:caps w:val="0"/>
          <w:spacing w:val="0"/>
          <w:sz w:val="24"/>
          <w:szCs w:val="24"/>
          <w:bdr w:val="none" w:color="auto" w:sz="0" w:space="0"/>
          <w:shd w:val="clear" w:fill="FFFFFF"/>
        </w:rPr>
        <w:t>http://apply.csc.edu.cn</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）完成网上申请并上传相关材料，申报项目名称请选择“国外合作项目”，可利用合作渠道请选择“与法国巴黎综合理工大学合作奖学金”，报名时应提交材料见附录。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国家留学基金委委托以下单位（以下简称受理单位）负责申请受理工作：有关高校负责受理本校人员（学生及在职人员）的申请；在外留学人员的申请委托现就读院校或科研机构所在国我驻外使（领）馆教育处（组）负责受理；其他人员的申请由有关国家留学基金申请受理单位负责受理（详见受理单位一览表）。国家留学基金委不直接受理个人申请。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推选单位需对申请人的政治思想、师德师风/品行学风等严格把关，并在申请表主表单位推荐意见栏中对上述表现做出评价。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3.提交纸质材料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完成网上申请后，请尽快将纸质材料寄送至受理单位。受理单位应于2021年 5 月 12日前审核申请人材料是否完整并将书面公函及推荐人选名单提交至国家留学基金委欧亚非事务部，并通过信息平台提交申请人的电子材料。申请人的书面材料由受理单位留存，留存期限为3年。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4"/>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五、评审、录取办法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362"/>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国家留学基金委将组织评审，并于2021年6月公布录取结果。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4"/>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六、对外联系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被录取人员需自行对外联系入学报到等事宜，一般于当年9月派出，具体派出时间以法方规定为准。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4"/>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七、咨询方式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联系人：  张梦迪                     联系电话：  010-66093931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传真：    010-66093929          E-mail：    ouyafei2@csc.edu.cn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地址：    北京市车公庄大街9号A3楼13层（100044）</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0" w:type="auto"/>
            <w:shd w:val="cle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        八、申请及选派程序</w:t>
      </w:r>
    </w:p>
    <w:tbl>
      <w:tblPr>
        <w:tblW w:w="83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22"/>
        <w:gridCol w:w="427"/>
        <w:gridCol w:w="427"/>
        <w:gridCol w:w="1603"/>
        <w:gridCol w:w="564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22"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ascii="黑体" w:hAnsi="宋体" w:eastAsia="黑体" w:cs="黑体"/>
                <w:b/>
                <w:bCs/>
                <w:kern w:val="0"/>
                <w:sz w:val="24"/>
                <w:szCs w:val="24"/>
                <w:bdr w:val="none" w:color="auto" w:sz="0" w:space="0"/>
                <w:lang w:val="en-US" w:eastAsia="zh-CN" w:bidi="ar"/>
              </w:rPr>
              <w:t>序号</w:t>
            </w:r>
          </w:p>
        </w:tc>
        <w:tc>
          <w:tcPr>
            <w:tcW w:w="42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黑体" w:hAnsi="宋体" w:eastAsia="黑体" w:cs="黑体"/>
                <w:b/>
                <w:bCs/>
                <w:kern w:val="0"/>
                <w:sz w:val="24"/>
                <w:szCs w:val="24"/>
                <w:bdr w:val="none" w:color="auto" w:sz="0" w:space="0"/>
                <w:lang w:val="en-US" w:eastAsia="zh-CN" w:bidi="ar"/>
              </w:rPr>
              <w:t>时间</w:t>
            </w:r>
          </w:p>
        </w:tc>
        <w:tc>
          <w:tcPr>
            <w:tcW w:w="42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黑体" w:hAnsi="宋体" w:eastAsia="黑体" w:cs="黑体"/>
                <w:b/>
                <w:bCs/>
                <w:kern w:val="0"/>
                <w:sz w:val="24"/>
                <w:szCs w:val="24"/>
                <w:bdr w:val="none" w:color="auto" w:sz="0" w:space="0"/>
                <w:lang w:val="en-US" w:eastAsia="zh-CN" w:bidi="ar"/>
              </w:rPr>
              <w:t>步骤</w:t>
            </w:r>
          </w:p>
        </w:tc>
        <w:tc>
          <w:tcPr>
            <w:tcW w:w="160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黑体" w:hAnsi="宋体" w:eastAsia="黑体" w:cs="黑体"/>
                <w:b/>
                <w:bCs/>
                <w:kern w:val="0"/>
                <w:sz w:val="24"/>
                <w:szCs w:val="24"/>
                <w:bdr w:val="none" w:color="auto" w:sz="0" w:space="0"/>
                <w:lang w:val="en-US" w:eastAsia="zh-CN" w:bidi="ar"/>
              </w:rPr>
              <w:t>具体内容</w:t>
            </w:r>
          </w:p>
        </w:tc>
        <w:tc>
          <w:tcPr>
            <w:tcW w:w="56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黑体" w:hAnsi="宋体" w:eastAsia="黑体" w:cs="黑体"/>
                <w:b/>
                <w:bCs/>
                <w:kern w:val="0"/>
                <w:sz w:val="24"/>
                <w:szCs w:val="24"/>
                <w:bdr w:val="none" w:color="auto" w:sz="0" w:space="0"/>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2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1</w:t>
            </w:r>
          </w:p>
        </w:tc>
        <w:tc>
          <w:tcPr>
            <w:tcW w:w="42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2021年4月</w:t>
            </w:r>
          </w:p>
        </w:tc>
        <w:tc>
          <w:tcPr>
            <w:tcW w:w="42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黑体" w:hAnsi="宋体" w:eastAsia="黑体" w:cs="黑体"/>
                <w:kern w:val="0"/>
                <w:sz w:val="24"/>
                <w:szCs w:val="24"/>
                <w:bdr w:val="none" w:color="auto" w:sz="0" w:space="0"/>
                <w:lang w:val="en-US" w:eastAsia="zh-CN" w:bidi="ar"/>
              </w:rPr>
              <w:t>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黑体" w:hAnsi="宋体" w:eastAsia="黑体" w:cs="黑体"/>
                <w:kern w:val="0"/>
                <w:sz w:val="24"/>
                <w:szCs w:val="24"/>
                <w:bdr w:val="none" w:color="auto" w:sz="0" w:space="0"/>
                <w:lang w:val="en-US" w:eastAsia="zh-CN" w:bidi="ar"/>
              </w:rPr>
              <w:t>准备</w:t>
            </w:r>
          </w:p>
        </w:tc>
        <w:tc>
          <w:tcPr>
            <w:tcW w:w="160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申请人应按巴黎综合理工大学要求对外联系，提交对外申请材料并取得外方录取通知书或邀请信及合作奖学金提名资格。</w:t>
            </w:r>
          </w:p>
        </w:tc>
        <w:tc>
          <w:tcPr>
            <w:tcW w:w="56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工程师硕士：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asciiTheme="minorHAnsi" w:hAnsiTheme="minorHAnsi" w:eastAsiaTheme="minorEastAsia" w:cstheme="minorBidi"/>
                <w:kern w:val="0"/>
                <w:sz w:val="24"/>
                <w:szCs w:val="24"/>
                <w:bdr w:val="none" w:color="auto" w:sz="0" w:space="0"/>
                <w:lang w:val="en-US" w:eastAsia="zh-CN" w:bidi="ar"/>
              </w:rPr>
              <w:fldChar w:fldCharType="begin"/>
            </w:r>
            <w:r>
              <w:rPr>
                <w:rFonts w:asciiTheme="minorHAnsi" w:hAnsiTheme="minorHAnsi" w:eastAsiaTheme="minorEastAsia" w:cstheme="minorBidi"/>
                <w:kern w:val="0"/>
                <w:sz w:val="24"/>
                <w:szCs w:val="24"/>
                <w:bdr w:val="none" w:color="auto" w:sz="0" w:space="0"/>
                <w:lang w:val="en-US" w:eastAsia="zh-CN" w:bidi="ar"/>
              </w:rPr>
              <w:instrText xml:space="preserve"> HYPERLINK "https://dca-concours.polytechnique.fr/fui/welcome/cand.php?lang=fr" \t "https://www.csc.edu.cn/article/_blank" </w:instrText>
            </w:r>
            <w:r>
              <w:rPr>
                <w:rFonts w:asciiTheme="minorHAnsi" w:hAnsiTheme="minorHAnsi" w:eastAsiaTheme="minorEastAsia" w:cstheme="minorBidi"/>
                <w:kern w:val="0"/>
                <w:sz w:val="24"/>
                <w:szCs w:val="24"/>
                <w:bdr w:val="none" w:color="auto" w:sz="0" w:space="0"/>
                <w:lang w:val="en-US" w:eastAsia="zh-CN" w:bidi="ar"/>
              </w:rPr>
              <w:fldChar w:fldCharType="separate"/>
            </w:r>
            <w:r>
              <w:rPr>
                <w:rStyle w:val="6"/>
                <w:rFonts w:hint="eastAsia" w:ascii="黑体" w:hAnsi="宋体" w:eastAsia="黑体" w:cs="黑体"/>
                <w:sz w:val="24"/>
                <w:szCs w:val="24"/>
                <w:bdr w:val="none" w:color="auto" w:sz="0" w:space="0"/>
              </w:rPr>
              <w:t>https://dca-concours.polytechnique.fr/fui/welcome/cand.php?lang=fr</w:t>
            </w:r>
            <w:r>
              <w:rPr>
                <w:rFonts w:asciiTheme="minorHAnsi" w:hAnsiTheme="minorHAnsi" w:eastAsiaTheme="minorEastAsia" w:cstheme="minorBidi"/>
                <w:kern w:val="0"/>
                <w:sz w:val="24"/>
                <w:szCs w:val="24"/>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硕博连读：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Style w:val="6"/>
                <w:rFonts w:asciiTheme="minorHAnsi" w:hAnsiTheme="minorHAnsi" w:eastAsiaTheme="minorEastAsia" w:cstheme="minorBidi"/>
                <w:kern w:val="0"/>
                <w:sz w:val="24"/>
                <w:szCs w:val="24"/>
                <w:bdr w:val="none" w:color="auto" w:sz="0" w:space="0"/>
                <w:lang w:val="en-US" w:eastAsia="zh-CN" w:bidi="ar"/>
              </w:rPr>
              <w:fldChar w:fldCharType="begin"/>
            </w:r>
            <w:r>
              <w:rPr>
                <w:rStyle w:val="6"/>
                <w:rFonts w:asciiTheme="minorHAnsi" w:hAnsiTheme="minorHAnsi" w:eastAsiaTheme="minorEastAsia" w:cstheme="minorBidi"/>
                <w:kern w:val="0"/>
                <w:sz w:val="24"/>
                <w:szCs w:val="24"/>
                <w:bdr w:val="none" w:color="auto" w:sz="0" w:space="0"/>
                <w:lang w:val="en-US" w:eastAsia="zh-CN" w:bidi="ar"/>
              </w:rPr>
              <w:instrText xml:space="preserve"> HYPERLINK "https://formulaires.polytechnique.fr/candidatures/logincandidature/index.php?cursus=MI" \t "https://www.csc.edu.cn/article/_blank" </w:instrText>
            </w:r>
            <w:r>
              <w:rPr>
                <w:rStyle w:val="6"/>
                <w:rFonts w:asciiTheme="minorHAnsi" w:hAnsiTheme="minorHAnsi" w:eastAsiaTheme="minorEastAsia" w:cstheme="minorBidi"/>
                <w:kern w:val="0"/>
                <w:sz w:val="24"/>
                <w:szCs w:val="24"/>
                <w:bdr w:val="none" w:color="auto" w:sz="0" w:space="0"/>
                <w:lang w:val="en-US" w:eastAsia="zh-CN" w:bidi="ar"/>
              </w:rPr>
              <w:fldChar w:fldCharType="separate"/>
            </w:r>
            <w:r>
              <w:rPr>
                <w:rStyle w:val="6"/>
                <w:sz w:val="24"/>
                <w:szCs w:val="24"/>
                <w:bdr w:val="none" w:color="auto" w:sz="0" w:space="0"/>
              </w:rPr>
              <w:t>https://formulaires.polytechnique.fr/candidatures/logincandidature/index.php?cursus=MI</w:t>
            </w:r>
            <w:r>
              <w:rPr>
                <w:rStyle w:val="6"/>
                <w:rFonts w:asciiTheme="minorHAnsi" w:hAnsiTheme="minorHAnsi" w:eastAsiaTheme="minorEastAsia" w:cstheme="minorBidi"/>
                <w:kern w:val="0"/>
                <w:sz w:val="24"/>
                <w:szCs w:val="24"/>
                <w:bdr w:val="none" w:color="auto" w:sz="0" w:space="0"/>
                <w:lang w:val="en-US" w:eastAsia="zh-CN" w:bidi="ar"/>
              </w:rPr>
              <w:fldChar w:fldCharType="end"/>
            </w:r>
            <w:r>
              <w:rPr>
                <w:rFonts w:hint="eastAsia" w:ascii="黑体" w:hAnsi="宋体" w:eastAsia="黑体" w:cs="黑体"/>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攻读博士学位及联合培养博士生：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Style w:val="6"/>
                <w:rFonts w:asciiTheme="minorHAnsi" w:hAnsiTheme="minorHAnsi" w:eastAsiaTheme="minorEastAsia" w:cstheme="minorBidi"/>
                <w:kern w:val="0"/>
                <w:sz w:val="24"/>
                <w:szCs w:val="24"/>
                <w:bdr w:val="none" w:color="auto" w:sz="0" w:space="0"/>
                <w:lang w:val="en-US" w:eastAsia="zh-CN" w:bidi="ar"/>
              </w:rPr>
              <w:fldChar w:fldCharType="begin"/>
            </w:r>
            <w:r>
              <w:rPr>
                <w:rStyle w:val="6"/>
                <w:rFonts w:asciiTheme="minorHAnsi" w:hAnsiTheme="minorHAnsi" w:eastAsiaTheme="minorEastAsia" w:cstheme="minorBidi"/>
                <w:kern w:val="0"/>
                <w:sz w:val="24"/>
                <w:szCs w:val="24"/>
                <w:bdr w:val="none" w:color="auto" w:sz="0" w:space="0"/>
                <w:lang w:val="en-US" w:eastAsia="zh-CN" w:bidi="ar"/>
              </w:rPr>
              <w:instrText xml:space="preserve"> HYPERLINK "https://www.adum.fr/as/ed/proposition.pl?site=EDIPParis" \t "https://www.csc.edu.cn/article/_blank" </w:instrText>
            </w:r>
            <w:r>
              <w:rPr>
                <w:rStyle w:val="6"/>
                <w:rFonts w:asciiTheme="minorHAnsi" w:hAnsiTheme="minorHAnsi" w:eastAsiaTheme="minorEastAsia" w:cstheme="minorBidi"/>
                <w:kern w:val="0"/>
                <w:sz w:val="24"/>
                <w:szCs w:val="24"/>
                <w:bdr w:val="none" w:color="auto" w:sz="0" w:space="0"/>
                <w:lang w:val="en-US" w:eastAsia="zh-CN" w:bidi="ar"/>
              </w:rPr>
              <w:fldChar w:fldCharType="separate"/>
            </w:r>
            <w:r>
              <w:rPr>
                <w:rStyle w:val="6"/>
                <w:sz w:val="24"/>
                <w:szCs w:val="24"/>
                <w:bdr w:val="none" w:color="auto" w:sz="0" w:space="0"/>
              </w:rPr>
              <w:t>https://www.adum.fr/as/ed/proposition.pl?site=EDIPParis</w:t>
            </w:r>
            <w:r>
              <w:rPr>
                <w:rStyle w:val="6"/>
                <w:rFonts w:asciiTheme="minorHAnsi" w:hAnsiTheme="minorHAnsi" w:eastAsiaTheme="minorEastAsia" w:cstheme="minorBidi"/>
                <w:kern w:val="0"/>
                <w:sz w:val="24"/>
                <w:szCs w:val="24"/>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其中数学专业申请地址：</w:t>
            </w:r>
            <w:r>
              <w:rPr>
                <w:rStyle w:val="6"/>
                <w:rFonts w:asciiTheme="minorHAnsi" w:hAnsiTheme="minorHAnsi" w:eastAsiaTheme="minorEastAsia" w:cstheme="minorBidi"/>
                <w:kern w:val="0"/>
                <w:sz w:val="24"/>
                <w:szCs w:val="24"/>
                <w:bdr w:val="none" w:color="auto" w:sz="0" w:space="0"/>
                <w:lang w:val="en-US" w:eastAsia="zh-CN" w:bidi="ar"/>
              </w:rPr>
              <w:fldChar w:fldCharType="begin"/>
            </w:r>
            <w:r>
              <w:rPr>
                <w:rStyle w:val="6"/>
                <w:rFonts w:asciiTheme="minorHAnsi" w:hAnsiTheme="minorHAnsi" w:eastAsiaTheme="minorEastAsia" w:cstheme="minorBidi"/>
                <w:kern w:val="0"/>
                <w:sz w:val="24"/>
                <w:szCs w:val="24"/>
                <w:bdr w:val="none" w:color="auto" w:sz="0" w:space="0"/>
                <w:lang w:val="en-US" w:eastAsia="zh-CN" w:bidi="ar"/>
              </w:rPr>
              <w:instrText xml:space="preserve"> HYPERLINK "https://www.adum.fr/as/ed/proposition.pl?site=psedmh" \t "https://www.csc.edu.cn/article/_blank" </w:instrText>
            </w:r>
            <w:r>
              <w:rPr>
                <w:rStyle w:val="6"/>
                <w:rFonts w:asciiTheme="minorHAnsi" w:hAnsiTheme="minorHAnsi" w:eastAsiaTheme="minorEastAsia" w:cstheme="minorBidi"/>
                <w:kern w:val="0"/>
                <w:sz w:val="24"/>
                <w:szCs w:val="24"/>
                <w:bdr w:val="none" w:color="auto" w:sz="0" w:space="0"/>
                <w:lang w:val="en-US" w:eastAsia="zh-CN" w:bidi="ar"/>
              </w:rPr>
              <w:fldChar w:fldCharType="separate"/>
            </w:r>
            <w:r>
              <w:rPr>
                <w:rStyle w:val="6"/>
                <w:sz w:val="24"/>
                <w:szCs w:val="24"/>
                <w:bdr w:val="none" w:color="auto" w:sz="0" w:space="0"/>
              </w:rPr>
              <w:t>https://www.adum.fr/as/ed/proposition.pl?site=psedmh</w:t>
            </w:r>
            <w:r>
              <w:rPr>
                <w:rStyle w:val="6"/>
                <w:rFonts w:asciiTheme="minorHAnsi" w:hAnsiTheme="minorHAnsi" w:eastAsiaTheme="minorEastAsia" w:cstheme="minorBidi"/>
                <w:kern w:val="0"/>
                <w:sz w:val="24"/>
                <w:szCs w:val="24"/>
                <w:bdr w:val="none" w:color="auto" w:sz="0" w:space="0"/>
                <w:lang w:val="en-US" w:eastAsia="zh-CN" w:bidi="ar"/>
              </w:rPr>
              <w:fldChar w:fldCharType="end"/>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2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2</w:t>
            </w:r>
          </w:p>
        </w:tc>
        <w:tc>
          <w:tcPr>
            <w:tcW w:w="42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4月10日-30日</w:t>
            </w:r>
          </w:p>
        </w:tc>
        <w:tc>
          <w:tcPr>
            <w:tcW w:w="42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黑体" w:hAnsi="宋体" w:eastAsia="黑体" w:cs="黑体"/>
                <w:kern w:val="0"/>
                <w:sz w:val="24"/>
                <w:szCs w:val="24"/>
                <w:bdr w:val="none" w:color="auto" w:sz="0" w:space="0"/>
                <w:lang w:val="en-US" w:eastAsia="zh-CN" w:bidi="ar"/>
              </w:rPr>
              <w:t>网上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黑体" w:hAnsi="宋体" w:eastAsia="黑体" w:cs="黑体"/>
                <w:kern w:val="0"/>
                <w:sz w:val="24"/>
                <w:szCs w:val="24"/>
                <w:bdr w:val="none" w:color="auto" w:sz="0" w:space="0"/>
                <w:lang w:val="en-US" w:eastAsia="zh-CN" w:bidi="ar"/>
              </w:rPr>
              <w:t>报名</w:t>
            </w:r>
          </w:p>
        </w:tc>
        <w:tc>
          <w:tcPr>
            <w:tcW w:w="160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申请人经所在单位审核同意后，进行网上报名并按要求向各受理机构提交申请。</w:t>
            </w:r>
          </w:p>
        </w:tc>
        <w:tc>
          <w:tcPr>
            <w:tcW w:w="56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申请时应提交巴黎综合理工大学正式录取通知书或邀请信。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2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3</w:t>
            </w:r>
          </w:p>
        </w:tc>
        <w:tc>
          <w:tcPr>
            <w:tcW w:w="42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5月12日前</w:t>
            </w:r>
          </w:p>
        </w:tc>
        <w:tc>
          <w:tcPr>
            <w:tcW w:w="42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提交公函及推荐人选名单</w:t>
            </w:r>
          </w:p>
        </w:tc>
        <w:tc>
          <w:tcPr>
            <w:tcW w:w="160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各校或受理机构整理申请材料并提交国家留学基金委欧亚非事务部。</w:t>
            </w:r>
          </w:p>
        </w:tc>
        <w:tc>
          <w:tcPr>
            <w:tcW w:w="56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公函须为司局级或校级红头文件，带函号并加盖公章。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2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4</w:t>
            </w:r>
          </w:p>
        </w:tc>
        <w:tc>
          <w:tcPr>
            <w:tcW w:w="42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5月-6月</w:t>
            </w:r>
          </w:p>
        </w:tc>
        <w:tc>
          <w:tcPr>
            <w:tcW w:w="42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评审、录取</w:t>
            </w:r>
          </w:p>
        </w:tc>
        <w:tc>
          <w:tcPr>
            <w:tcW w:w="1603" w:type="dxa"/>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国家留学基金管理委员会组织评审，完成录取工作并公布录取名单。</w:t>
            </w:r>
          </w:p>
        </w:tc>
        <w:tc>
          <w:tcPr>
            <w:tcW w:w="5645" w:type="dxa"/>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申请人可登录国家公派留学管理信息平台（http://apply.csc.edu.cn）查询录取结果，下载、打印录取材料。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2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5</w:t>
            </w:r>
          </w:p>
        </w:tc>
        <w:tc>
          <w:tcPr>
            <w:tcW w:w="42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7月起</w:t>
            </w:r>
          </w:p>
        </w:tc>
        <w:tc>
          <w:tcPr>
            <w:tcW w:w="42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符合派出要求者，办理派出手续</w:t>
            </w:r>
          </w:p>
        </w:tc>
        <w:tc>
          <w:tcPr>
            <w:tcW w:w="160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①联系相关留学服务机构办理签证申请、机票预订手续；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②签署《国家公派出国留学协议书》，办理奖学金专用银行卡，办理《国际旅行健康证明书》。</w:t>
            </w:r>
          </w:p>
        </w:tc>
        <w:tc>
          <w:tcPr>
            <w:tcW w:w="56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详见《出国留学人员须知》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2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6</w:t>
            </w:r>
          </w:p>
        </w:tc>
        <w:tc>
          <w:tcPr>
            <w:tcW w:w="427"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42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派出</w:t>
            </w:r>
          </w:p>
        </w:tc>
        <w:tc>
          <w:tcPr>
            <w:tcW w:w="160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联系相关留学服务机构领取机票、签证等，陆续派出。</w:t>
            </w:r>
          </w:p>
        </w:tc>
        <w:tc>
          <w:tcPr>
            <w:tcW w:w="564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黑体" w:hAnsi="宋体" w:eastAsia="黑体" w:cs="黑体"/>
                <w:kern w:val="0"/>
                <w:sz w:val="24"/>
                <w:szCs w:val="24"/>
                <w:bdr w:val="none" w:color="auto" w:sz="0" w:space="0"/>
                <w:lang w:val="en-US" w:eastAsia="zh-CN" w:bidi="ar"/>
              </w:rPr>
              <w:t>须按校方规定的时间派出。未按期派出者，留学资格自动取消。</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附录：按照攻读身份提交材料列表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1.工程师硕士：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1.正式邀请信/入学通知书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2.学习计划（英文）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3.成绩单复印件（自本科阶段起，须加盖学校公章）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4.外语水平证明复印件（法语或英语水平证明复印件）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5.有效身份证复印件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6.最高学历、学位复印件（应届本科毕业生提供在读证明，说明处于本科最后一年）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2博士、联合培养博士：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1.正式邀请信/入学通知书复印件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2.学习计划（英文，博士生需由国外导师签字，联合培养博士需由中外导师共同签字）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3.最高学历学位证书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1200" w:right="0" w:hanging="120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4.成绩单（自本科阶段起，须加盖学校公章，如为英语以外语种须翻译成英文并加盖学校公章）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5.外语水平证明（参照国家建设高水平大学研究生项目选派办法）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6.个人有效身份证明（海外申请博士研究生人员须同时上传护照复印件）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7.外方导师简历（导师签字）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8.现任导师推荐信（在职人员无需提交）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9.校内评审意见（联培博士必传）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10.在籍证明（在校生需提供）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3.硕博连读：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1.正式邀请信/入学通知书复印件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2.学习计划（英文）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3.最高学历学位证书（应届本科毕业生提供在读证明，说明处于本科最后一年）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4.成绩单复印件（自本科阶段起，须加盖学校公章）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5.外语水平证明（法语或英语水平证明复印件）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6.个人有效身份证明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备注：如提供的材料中有英语以外语种的，需另提供中文翻译件。申请人应对所提交的申请材料的真实性负责。凡是提供虚假材料的申请，一经查实，材料审核不予通过；已被录取的，取消留学资格。申请人未按要求上传材料或上 传材料模糊不清、无法识别的，视为无效申请，材料审核不予通过。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6373E"/>
    <w:rsid w:val="5D463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2021-03-25T02:06:00Z</dcterms:created>
  <dc:creator>cocomira</dc:creator>
  <cp:lastModifiedBy>cocomira</cp:lastModifiedBy>
  <dcterms:modified xsi:type="dcterms:W3CDTF">2021-03-25T02:07:04Z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8F660E38DE514FAB96BCBE13DD16C11E</vt:lpwstr>
  </property>
</Properties>
</file>