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exact"/>
        <w:rPr>
          <w:rFonts w:hint="eastAsia" w:ascii="黑体" w:eastAsia="黑体"/>
          <w:sz w:val="32"/>
          <w:szCs w:val="32"/>
        </w:rPr>
      </w:pPr>
    </w:p>
    <w:p>
      <w:pPr>
        <w:spacing w:line="4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海南省普通高等学校新办本科专业评价指标体系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6"/>
        <w:tblW w:w="9476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1413"/>
        <w:gridCol w:w="3560"/>
        <w:gridCol w:w="1450"/>
        <w:gridCol w:w="1686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级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</w:t>
            </w:r>
          </w:p>
        </w:tc>
        <w:tc>
          <w:tcPr>
            <w:tcW w:w="1413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二级指标</w:t>
            </w: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三级指标</w:t>
            </w:r>
          </w:p>
        </w:tc>
        <w:tc>
          <w:tcPr>
            <w:tcW w:w="1450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合格标准</w:t>
            </w:r>
          </w:p>
        </w:tc>
        <w:tc>
          <w:tcPr>
            <w:tcW w:w="1686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实际值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自评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03" w:type="dxa"/>
            <w:vMerge w:val="restart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师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队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伍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spacing w:line="220" w:lineRule="exact"/>
              <w:ind w:left="360" w:hanging="36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△1.1队伍结构</w:t>
            </w: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·高级职称教师百分比</w:t>
            </w:r>
          </w:p>
        </w:tc>
        <w:tc>
          <w:tcPr>
            <w:tcW w:w="1450" w:type="dxa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≥20%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52.17%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03" w:type="dxa"/>
            <w:vMerge w:val="continue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spacing w:line="220" w:lineRule="exact"/>
              <w:ind w:left="360" w:hanging="36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180" w:hanging="180" w:hanging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·40岁以下青年教师具有研究生学历比例(不含研究生课程进修班)</w:t>
            </w:r>
          </w:p>
        </w:tc>
        <w:tc>
          <w:tcPr>
            <w:tcW w:w="1450" w:type="dxa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≥30%</w:t>
            </w:r>
          </w:p>
        </w:tc>
        <w:tc>
          <w:tcPr>
            <w:tcW w:w="1686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  <w:vMerge w:val="continue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20" w:lineRule="exact"/>
              <w:ind w:left="360" w:hanging="36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1.2主讲教师</w:t>
            </w: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</w:t>
            </w:r>
            <w:r>
              <w:rPr>
                <w:rFonts w:hint="eastAsia" w:ascii="宋体" w:hAnsi="宋体"/>
                <w:spacing w:val="-8"/>
                <w:sz w:val="18"/>
                <w:szCs w:val="18"/>
              </w:rPr>
              <w:t>高级职称教师中任主讲教师的比例</w:t>
            </w:r>
          </w:p>
        </w:tc>
        <w:tc>
          <w:tcPr>
            <w:tcW w:w="1450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≥80%</w:t>
            </w:r>
          </w:p>
        </w:tc>
        <w:tc>
          <w:tcPr>
            <w:tcW w:w="1686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83.3%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03" w:type="dxa"/>
            <w:vMerge w:val="continue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vAlign w:val="center"/>
          </w:tcPr>
          <w:p>
            <w:pPr>
              <w:spacing w:line="220" w:lineRule="exact"/>
              <w:ind w:left="360" w:hanging="36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△1.3科研情况</w:t>
            </w: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·近3年主讲教师发表科研论文数</w:t>
            </w:r>
          </w:p>
        </w:tc>
        <w:tc>
          <w:tcPr>
            <w:tcW w:w="1450" w:type="dxa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理工科年人均1篇</w:t>
            </w:r>
          </w:p>
        </w:tc>
        <w:tc>
          <w:tcPr>
            <w:tcW w:w="1686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2.2篇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403" w:type="dxa"/>
            <w:vMerge w:val="continue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spacing w:line="220" w:lineRule="exact"/>
              <w:ind w:left="360" w:hanging="36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</w:t>
            </w:r>
            <w:r>
              <w:rPr>
                <w:rFonts w:hint="eastAsia" w:ascii="宋体" w:hAnsi="宋体"/>
                <w:spacing w:val="-8"/>
                <w:sz w:val="18"/>
                <w:szCs w:val="18"/>
              </w:rPr>
              <w:t>近3年主讲教师发表教学研究论文数</w:t>
            </w:r>
          </w:p>
        </w:tc>
        <w:tc>
          <w:tcPr>
            <w:tcW w:w="1450" w:type="dxa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3年人均1篇</w:t>
            </w:r>
          </w:p>
        </w:tc>
        <w:tc>
          <w:tcPr>
            <w:tcW w:w="168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1篇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03" w:type="dxa"/>
            <w:vMerge w:val="continue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spacing w:line="220" w:lineRule="exact"/>
              <w:ind w:left="360" w:hanging="36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360" w:hanging="36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·目前主讲教师承担省、部级科研课题情况</w:t>
            </w:r>
          </w:p>
        </w:tc>
        <w:tc>
          <w:tcPr>
            <w:tcW w:w="1450" w:type="dxa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每5人有1个项目</w:t>
            </w:r>
          </w:p>
        </w:tc>
        <w:tc>
          <w:tcPr>
            <w:tcW w:w="168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每5人有个5.2项目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  <w:vMerge w:val="restart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办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413" w:type="dxa"/>
            <w:vAlign w:val="center"/>
          </w:tcPr>
          <w:p>
            <w:pPr>
              <w:spacing w:line="220" w:lineRule="exact"/>
              <w:ind w:left="360" w:hanging="36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△2.1经费投入</w:t>
            </w: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·近3年教学经费的增长情况</w:t>
            </w:r>
          </w:p>
        </w:tc>
        <w:tc>
          <w:tcPr>
            <w:tcW w:w="1450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持续增长</w:t>
            </w:r>
          </w:p>
        </w:tc>
        <w:tc>
          <w:tcPr>
            <w:tcW w:w="1686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持续增长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，年均增长率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99.1%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  <w:vMerge w:val="continue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20" w:lineRule="exact"/>
              <w:ind w:left="360" w:hanging="36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△2.2</w:t>
            </w:r>
            <w:r>
              <w:rPr>
                <w:rFonts w:hint="eastAsia" w:ascii="宋体" w:hAnsi="宋体"/>
                <w:spacing w:val="-16"/>
                <w:sz w:val="18"/>
                <w:szCs w:val="18"/>
              </w:rPr>
              <w:t>实验仪器设备</w:t>
            </w: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</w:t>
            </w:r>
            <w:r>
              <w:rPr>
                <w:rFonts w:hint="eastAsia" w:ascii="宋体" w:hAnsi="宋体"/>
                <w:spacing w:val="-14"/>
                <w:sz w:val="18"/>
                <w:szCs w:val="18"/>
              </w:rPr>
              <w:t>基础课和专业基础课教学实验仪器设备满足教学情况</w:t>
            </w:r>
          </w:p>
        </w:tc>
        <w:tc>
          <w:tcPr>
            <w:tcW w:w="1450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基本能满足</w:t>
            </w:r>
          </w:p>
        </w:tc>
        <w:tc>
          <w:tcPr>
            <w:tcW w:w="1686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基本能满足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  <w:vMerge w:val="continue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20" w:lineRule="exact"/>
              <w:ind w:left="360" w:hanging="36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2.3</w:t>
            </w:r>
            <w:r>
              <w:rPr>
                <w:rFonts w:hint="eastAsia" w:ascii="宋体" w:hAnsi="宋体"/>
                <w:spacing w:val="-26"/>
                <w:sz w:val="18"/>
                <w:szCs w:val="18"/>
              </w:rPr>
              <w:t>实习、实训场地</w:t>
            </w: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</w:t>
            </w:r>
            <w:r>
              <w:rPr>
                <w:rFonts w:hint="eastAsia" w:ascii="宋体" w:hAnsi="宋体"/>
                <w:spacing w:val="-14"/>
                <w:sz w:val="18"/>
                <w:szCs w:val="18"/>
              </w:rPr>
              <w:t>校内外实习、实训场地满足各类实践教学要求的情况</w:t>
            </w:r>
          </w:p>
        </w:tc>
        <w:tc>
          <w:tcPr>
            <w:tcW w:w="1450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基本能满足</w:t>
            </w:r>
          </w:p>
        </w:tc>
        <w:tc>
          <w:tcPr>
            <w:tcW w:w="1686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基本能满足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  <w:vMerge w:val="continue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20" w:lineRule="exact"/>
              <w:ind w:left="360" w:hanging="36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2.4图书资料</w:t>
            </w: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·校、院（系）专业图书生均拥有量</w:t>
            </w:r>
          </w:p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·院（系）计算机入网情况</w:t>
            </w:r>
          </w:p>
        </w:tc>
        <w:tc>
          <w:tcPr>
            <w:tcW w:w="1450" w:type="dxa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≥100册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已入网</w:t>
            </w:r>
          </w:p>
        </w:tc>
        <w:tc>
          <w:tcPr>
            <w:tcW w:w="1686" w:type="dxa"/>
            <w:textDirection w:val="lrTb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总计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47397册，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生均236册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  <w:vMerge w:val="restart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程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</w:t>
            </w:r>
          </w:p>
        </w:tc>
        <w:tc>
          <w:tcPr>
            <w:tcW w:w="1413" w:type="dxa"/>
            <w:vAlign w:val="center"/>
          </w:tcPr>
          <w:p>
            <w:pPr>
              <w:spacing w:line="220" w:lineRule="exact"/>
              <w:ind w:left="360" w:hanging="36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3.1建设状况</w:t>
            </w: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·课程建设规划及制行情况</w:t>
            </w:r>
          </w:p>
        </w:tc>
        <w:tc>
          <w:tcPr>
            <w:tcW w:w="1450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有规划，执行良好</w:t>
            </w:r>
          </w:p>
        </w:tc>
        <w:tc>
          <w:tcPr>
            <w:tcW w:w="1686" w:type="dxa"/>
            <w:textDirection w:val="lrTb"/>
            <w:vAlign w:val="center"/>
          </w:tcPr>
          <w:p>
            <w:pPr>
              <w:spacing w:line="220" w:lineRule="exact"/>
              <w:ind w:left="360" w:leftChars="0" w:hanging="36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有规划，执行良好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  <w:vMerge w:val="continue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20" w:lineRule="exact"/>
              <w:ind w:left="360" w:hanging="36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3.2教材选用</w:t>
            </w: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</w:t>
            </w:r>
            <w:r>
              <w:rPr>
                <w:rFonts w:hint="eastAsia" w:ascii="宋体" w:hAnsi="宋体"/>
                <w:spacing w:val="-10"/>
                <w:sz w:val="18"/>
                <w:szCs w:val="18"/>
              </w:rPr>
              <w:t xml:space="preserve">主干课程选用教育部推荐教材及全国通用教材情况 </w:t>
            </w:r>
          </w:p>
        </w:tc>
        <w:tc>
          <w:tcPr>
            <w:tcW w:w="1450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全部选用</w:t>
            </w:r>
          </w:p>
        </w:tc>
        <w:tc>
          <w:tcPr>
            <w:tcW w:w="1686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全部选用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  <w:vMerge w:val="continue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20" w:lineRule="exact"/>
              <w:ind w:left="450" w:hanging="450" w:hangingChars="25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△3.3现代教学技术手段</w:t>
            </w: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360" w:hanging="360"/>
              <w:rPr>
                <w:rFonts w:hint="eastAsia" w:ascii="宋体" w:hAnsi="宋体"/>
                <w:spacing w:val="-14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</w:t>
            </w:r>
            <w:r>
              <w:rPr>
                <w:rFonts w:hint="eastAsia" w:ascii="宋体" w:hAnsi="宋体"/>
                <w:spacing w:val="-14"/>
                <w:sz w:val="18"/>
                <w:szCs w:val="18"/>
              </w:rPr>
              <w:t xml:space="preserve">电化教学（投影、幻灯、音像等）的课程覆盖率 </w:t>
            </w:r>
          </w:p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·多媒体教学运用率</w:t>
            </w:r>
          </w:p>
        </w:tc>
        <w:tc>
          <w:tcPr>
            <w:tcW w:w="1450" w:type="dxa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≥50%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≥50%</w:t>
            </w:r>
          </w:p>
        </w:tc>
        <w:tc>
          <w:tcPr>
            <w:tcW w:w="1686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  <w:vMerge w:val="continue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20" w:lineRule="exact"/>
              <w:ind w:left="360" w:hanging="36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△3.4试题库建设</w:t>
            </w: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·主要课程采用试题库考试的比例</w:t>
            </w:r>
          </w:p>
        </w:tc>
        <w:tc>
          <w:tcPr>
            <w:tcW w:w="1450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≥60%</w:t>
            </w:r>
          </w:p>
        </w:tc>
        <w:tc>
          <w:tcPr>
            <w:tcW w:w="1686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  <w:vMerge w:val="restart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</w:t>
            </w:r>
          </w:p>
        </w:tc>
        <w:tc>
          <w:tcPr>
            <w:tcW w:w="1413" w:type="dxa"/>
            <w:vAlign w:val="center"/>
          </w:tcPr>
          <w:p>
            <w:pPr>
              <w:spacing w:line="220" w:lineRule="exact"/>
              <w:ind w:left="360" w:hanging="36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4.1规章制度</w:t>
            </w: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180" w:hanging="180" w:hanging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·校、院（系）教学管理规章制度建设及执行情况</w:t>
            </w:r>
          </w:p>
        </w:tc>
        <w:tc>
          <w:tcPr>
            <w:tcW w:w="1450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较健全，执行良好</w:t>
            </w:r>
          </w:p>
        </w:tc>
        <w:tc>
          <w:tcPr>
            <w:tcW w:w="1686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较健全，执行良好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  <w:vMerge w:val="continue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20" w:lineRule="exact"/>
              <w:ind w:left="360" w:hanging="36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△4.2教学文件</w:t>
            </w: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180" w:hanging="180" w:hanging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专业教学计划、各门课程教学大纲、实验实习指导书等教学文件的制定及实行情况</w:t>
            </w:r>
          </w:p>
        </w:tc>
        <w:tc>
          <w:tcPr>
            <w:tcW w:w="1450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较齐备，执行较好</w:t>
            </w:r>
          </w:p>
        </w:tc>
        <w:tc>
          <w:tcPr>
            <w:tcW w:w="1686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较齐备，执行较好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  <w:vMerge w:val="continue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20" w:lineRule="exact"/>
              <w:ind w:left="450" w:hanging="450" w:hangingChars="25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△4.3教学质量监控</w:t>
            </w: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·校院（系）领导听课情况</w:t>
            </w:r>
          </w:p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·教学管理人员听课情况</w:t>
            </w:r>
          </w:p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·学生评教情况</w:t>
            </w:r>
          </w:p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·新教师试讲情况</w:t>
            </w:r>
          </w:p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</w:t>
            </w:r>
            <w:r>
              <w:rPr>
                <w:rFonts w:hint="eastAsia" w:ascii="宋体" w:hAnsi="宋体"/>
                <w:spacing w:val="-16"/>
                <w:sz w:val="18"/>
                <w:szCs w:val="18"/>
              </w:rPr>
              <w:t>教学状态统计情况（考勤、课堂、考试、分数等记录）</w:t>
            </w:r>
          </w:p>
        </w:tc>
        <w:tc>
          <w:tcPr>
            <w:tcW w:w="1450" w:type="dxa"/>
            <w:vAlign w:val="top"/>
          </w:tcPr>
          <w:p>
            <w:pPr>
              <w:spacing w:line="220" w:lineRule="exact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年均2次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年均4次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正常开展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有要求并执行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较完整</w:t>
            </w:r>
          </w:p>
        </w:tc>
        <w:tc>
          <w:tcPr>
            <w:tcW w:w="1686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次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次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正常开展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有要求并执行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较完整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  <w:vMerge w:val="continue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20" w:lineRule="exact"/>
              <w:ind w:left="360" w:hanging="36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4.4教风学风</w:t>
            </w: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·教师奖惩情况</w:t>
            </w:r>
          </w:p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·学生守纪情况</w:t>
            </w:r>
          </w:p>
        </w:tc>
        <w:tc>
          <w:tcPr>
            <w:tcW w:w="1450" w:type="dxa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有记录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有记录</w:t>
            </w:r>
          </w:p>
        </w:tc>
        <w:tc>
          <w:tcPr>
            <w:tcW w:w="1686" w:type="dxa"/>
            <w:textDirection w:val="lrTb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有记录</w:t>
            </w:r>
          </w:p>
          <w:p>
            <w:pPr>
              <w:spacing w:line="220" w:lineRule="exact"/>
              <w:ind w:left="360" w:leftChars="0" w:hanging="36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有记录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03" w:type="dxa"/>
            <w:vMerge w:val="restart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</w:t>
            </w:r>
          </w:p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量</w:t>
            </w:r>
          </w:p>
        </w:tc>
        <w:tc>
          <w:tcPr>
            <w:tcW w:w="1413" w:type="dxa"/>
            <w:vAlign w:val="center"/>
          </w:tcPr>
          <w:p>
            <w:pPr>
              <w:spacing w:line="220" w:lineRule="exact"/>
              <w:ind w:left="270" w:hanging="270" w:hangingChars="15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5.1思想道德与文化素质</w:t>
            </w: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·各类活动奖获得情况</w:t>
            </w:r>
          </w:p>
        </w:tc>
        <w:tc>
          <w:tcPr>
            <w:tcW w:w="1450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有一定人次</w:t>
            </w:r>
          </w:p>
        </w:tc>
        <w:tc>
          <w:tcPr>
            <w:tcW w:w="1686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约184人次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  <w:vMerge w:val="continue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20" w:lineRule="exact"/>
              <w:ind w:left="450" w:hanging="450" w:hangingChars="25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△5.</w:t>
            </w:r>
            <w:r>
              <w:rPr>
                <w:rFonts w:hint="eastAsia" w:ascii="宋体" w:hAnsi="宋体"/>
                <w:spacing w:val="-12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基础课、主干课学习情况</w:t>
            </w: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180" w:hanging="180" w:hanging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·大学生基础知识、基本理论与基本技能方面的实际水平</w:t>
            </w:r>
          </w:p>
        </w:tc>
        <w:tc>
          <w:tcPr>
            <w:tcW w:w="1450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较好</w:t>
            </w:r>
          </w:p>
        </w:tc>
        <w:tc>
          <w:tcPr>
            <w:tcW w:w="1686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较好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  <w:vMerge w:val="continue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20" w:lineRule="exact"/>
              <w:ind w:left="450" w:hanging="450" w:hangingChars="25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△5.3</w:t>
            </w:r>
            <w:r>
              <w:rPr>
                <w:rFonts w:hint="eastAsia" w:ascii="宋体" w:hAnsi="宋体"/>
                <w:spacing w:val="-14"/>
                <w:sz w:val="18"/>
                <w:szCs w:val="18"/>
              </w:rPr>
              <w:t>毕业论文及设计</w:t>
            </w: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·选题的适切性、深广度及结合实际情况</w:t>
            </w:r>
          </w:p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·论文或设计质量</w:t>
            </w:r>
          </w:p>
        </w:tc>
        <w:tc>
          <w:tcPr>
            <w:tcW w:w="1450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较好</w:t>
            </w:r>
          </w:p>
        </w:tc>
        <w:tc>
          <w:tcPr>
            <w:tcW w:w="1686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较好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  <w:vMerge w:val="continue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20" w:lineRule="exact"/>
              <w:ind w:left="360" w:hanging="36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5.4体育合格率</w:t>
            </w: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·应届毕业生的体育合格率</w:t>
            </w:r>
          </w:p>
        </w:tc>
        <w:tc>
          <w:tcPr>
            <w:tcW w:w="1450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≥95%</w:t>
            </w:r>
          </w:p>
        </w:tc>
        <w:tc>
          <w:tcPr>
            <w:tcW w:w="1686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  <w:vMerge w:val="continue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20" w:lineRule="exact"/>
              <w:ind w:left="360" w:hanging="360" w:hanging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5.5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社会实践、实习情况</w:t>
            </w: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·用人单位评价</w:t>
            </w:r>
          </w:p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·学校组织、检查、总结情况</w:t>
            </w:r>
          </w:p>
        </w:tc>
        <w:tc>
          <w:tcPr>
            <w:tcW w:w="1450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良好</w:t>
            </w:r>
          </w:p>
        </w:tc>
        <w:tc>
          <w:tcPr>
            <w:tcW w:w="1686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  <w:vMerge w:val="continue"/>
            <w:vAlign w:val="top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220" w:lineRule="exact"/>
              <w:ind w:left="360" w:hanging="36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△5.6学生反映</w:t>
            </w:r>
          </w:p>
        </w:tc>
        <w:tc>
          <w:tcPr>
            <w:tcW w:w="3560" w:type="dxa"/>
            <w:vAlign w:val="center"/>
          </w:tcPr>
          <w:p>
            <w:pPr>
              <w:spacing w:line="220" w:lineRule="exact"/>
              <w:ind w:left="360" w:hanging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·学生对教学管理及教学质量情况的评价</w:t>
            </w:r>
          </w:p>
        </w:tc>
        <w:tc>
          <w:tcPr>
            <w:tcW w:w="1450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评价较好</w:t>
            </w:r>
          </w:p>
        </w:tc>
        <w:tc>
          <w:tcPr>
            <w:tcW w:w="168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学生满意和基本满意达90%</w:t>
            </w:r>
          </w:p>
        </w:tc>
        <w:tc>
          <w:tcPr>
            <w:tcW w:w="964" w:type="dxa"/>
            <w:vAlign w:val="center"/>
          </w:tcPr>
          <w:p>
            <w:pPr>
              <w:spacing w:line="220" w:lineRule="exact"/>
              <w:ind w:left="360" w:hanging="36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</w:t>
            </w:r>
          </w:p>
        </w:tc>
      </w:tr>
    </w:tbl>
    <w:p>
      <w:pPr>
        <w:spacing w:line="24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Cs w:val="21"/>
        </w:rPr>
        <w:t>注：1、本指标体系共有5项一级指标，21项二级指标，其中加“</w:t>
      </w:r>
      <w:r>
        <w:rPr>
          <w:rFonts w:hint="eastAsia" w:ascii="宋体" w:hAnsi="宋体"/>
          <w:sz w:val="18"/>
          <w:szCs w:val="18"/>
        </w:rPr>
        <w:t>△”的指标为重点指标，共11项；</w:t>
      </w:r>
    </w:p>
    <w:p>
      <w:pPr>
        <w:spacing w:line="240" w:lineRule="exact"/>
        <w:ind w:firstLine="4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2、每项二级指标评价结果分合格（P）、 不合格（F）二个等级；</w:t>
      </w:r>
    </w:p>
    <w:p>
      <w:pPr>
        <w:spacing w:line="240" w:lineRule="exact"/>
        <w:ind w:firstLine="4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3、21项二级指标中，F≤5（其中重点指标≤2），总体评价合格，否则为不合格；</w:t>
      </w:r>
    </w:p>
    <w:p>
      <w:pPr>
        <w:spacing w:line="240" w:lineRule="exact"/>
        <w:ind w:firstLine="450"/>
      </w:pPr>
      <w:r>
        <w:rPr>
          <w:rFonts w:hint="eastAsia" w:ascii="宋体" w:hAnsi="宋体"/>
          <w:szCs w:val="21"/>
        </w:rPr>
        <w:t>4、每项指标评价结果由专家组集中评议确定。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140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A79EA"/>
    <w:rsid w:val="008A31D3"/>
    <w:rsid w:val="03FB0EF1"/>
    <w:rsid w:val="06735C83"/>
    <w:rsid w:val="06826CDF"/>
    <w:rsid w:val="0AC94D90"/>
    <w:rsid w:val="0C080202"/>
    <w:rsid w:val="0D632B48"/>
    <w:rsid w:val="10AB6453"/>
    <w:rsid w:val="12B6359C"/>
    <w:rsid w:val="142A0240"/>
    <w:rsid w:val="16A90717"/>
    <w:rsid w:val="19062FC8"/>
    <w:rsid w:val="25634705"/>
    <w:rsid w:val="28190268"/>
    <w:rsid w:val="285247ED"/>
    <w:rsid w:val="294A51F7"/>
    <w:rsid w:val="2BC36AC1"/>
    <w:rsid w:val="2D043285"/>
    <w:rsid w:val="2ECF2126"/>
    <w:rsid w:val="3153307D"/>
    <w:rsid w:val="336719E1"/>
    <w:rsid w:val="360E0BA8"/>
    <w:rsid w:val="3641041B"/>
    <w:rsid w:val="3B1E6478"/>
    <w:rsid w:val="42400458"/>
    <w:rsid w:val="506C22E6"/>
    <w:rsid w:val="517D1DD4"/>
    <w:rsid w:val="55B64296"/>
    <w:rsid w:val="58656456"/>
    <w:rsid w:val="592B6116"/>
    <w:rsid w:val="59BA79EA"/>
    <w:rsid w:val="5C4C2019"/>
    <w:rsid w:val="5C5F26C4"/>
    <w:rsid w:val="5DAA5D8F"/>
    <w:rsid w:val="5DDC58BB"/>
    <w:rsid w:val="5EFA43D5"/>
    <w:rsid w:val="61DB196B"/>
    <w:rsid w:val="651511D6"/>
    <w:rsid w:val="6D9C239C"/>
    <w:rsid w:val="721068F3"/>
    <w:rsid w:val="770C768D"/>
    <w:rsid w:val="770D11B4"/>
    <w:rsid w:val="7A5D4F66"/>
    <w:rsid w:val="7E4639C5"/>
    <w:rsid w:val="7EAE4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lenovo10</dc:creator>
  <cp:lastModifiedBy>Administrator</cp:lastModifiedBy>
  <cp:lastPrinted>2017-04-19T07:26:00Z</cp:lastPrinted>
  <dcterms:modified xsi:type="dcterms:W3CDTF">2017-05-18T01:42:23Z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